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ee65cb762726d111c9e5c4a1f6346be0775fd15"/>
      <w:r>
        <w:t xml:space="preserve">HISN Canonical Activity Ledger &amp; Reporting Boundary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Active architectural boundary</w:t>
      </w:r>
      <w:r>
        <w:br/>
      </w:r>
      <w:r>
        <w:rPr>
          <w:b/>
          <w:bCs/>
        </w:rPr>
        <w:t xml:space="preserve">Source of truth:</w:t>
      </w:r>
      <w:r>
        <w:t xml:space="preserve"> </w:t>
      </w:r>
      <w:r>
        <w:rPr>
          <w:rStyle w:val="VerbatimChar"/>
        </w:rPr>
        <w:t xml:space="preserve">src/core/audit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hisn.audit_events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src/core/contracts/regulatory_reporting.py</w:t>
      </w:r>
    </w:p>
    <w:p>
      <w:pPr>
        <w:pStyle w:val="BodyText"/>
      </w:pPr>
      <w:r>
        <w:t xml:space="preserve">The existing immutable audit chain is the single canonical activity ledger. Dashboard, governance, investigation, and reporting surfaces must consume it rather than create a second audit datastore.</w:t>
      </w:r>
    </w:p>
    <w:p>
      <w:pPr>
        <w:pStyle w:val="BodyText"/>
      </w:pPr>
      <w:r>
        <w:t xml:space="preserve">Current decision lifecycle events are emitted in one ordered hash chain: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transaction_received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risk_assessed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evidence_attached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policy_matched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decision_created</w:t>
      </w:r>
    </w:p>
    <w:p>
      <w:pPr>
        <w:pStyle w:val="FirstParagraph"/>
      </w:pPr>
      <w:r>
        <w:t xml:space="preserve">Reserved governance/reporting event types use the same ledger: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access_denied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permission_changed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config_changed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version_released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report_generated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export_requested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override</w:t>
      </w:r>
    </w:p>
    <w:p>
      <w:pPr>
        <w:pStyle w:val="FirstParagraph"/>
      </w:pPr>
      <w:r>
        <w:t xml:space="preserve">Runtime activity and Git/release history remain distinct. Git history is engineering provenance; runtime audit records what actually occurred in the application. Historical runtime events must not be fabricated.</w:t>
      </w:r>
    </w:p>
    <w:p>
      <w:pPr>
        <w:pStyle w:val="Heading2"/>
      </w:pPr>
      <w:bookmarkStart w:id="10" w:name="_582ee97abc8b5648cfcea8ce2e6d58525e206d2"/>
      <w:r>
        <w:t xml:space="preserve">Regulatory reporting contract</w:t>
      </w:r>
    </w:p>
    <w:p>
      <w:pPr>
        <w:pStyle w:val="FirstParagraph"/>
      </w:pPr>
      <w:r>
        <w:t xml:space="preserve">HISN uses</w:t>
      </w:r>
      <w:r>
        <w:t xml:space="preserve"> </w:t>
      </w:r>
      <w:r>
        <w:rPr>
          <w:b/>
          <w:bCs/>
        </w:rPr>
        <w:t xml:space="preserve">jurisdiction-neutral regulatory report semantics</w:t>
      </w:r>
      <w:r>
        <w:t xml:space="preserve"> </w:t>
      </w:r>
      <w:r>
        <w:t xml:space="preserve">with explicit jurisdiction and external-report metadata.</w:t>
      </w:r>
    </w:p>
    <w:p>
      <w:pPr>
        <w:pStyle w:val="Heading3"/>
      </w:pPr>
      <w:bookmarkStart w:id="11" w:name="_0e3c480fa0ea9d217b5e25a3a10cb15e8349594"/>
      <w:r>
        <w:t xml:space="preserve">Saudi-first canonical terminology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STR — Suspicious Transaction Report:</w:t>
      </w:r>
      <w:r>
        <w:t xml:space="preserve"> </w:t>
      </w:r>
      <w:r>
        <w:t xml:space="preserve">canonical HISN semantic for suspicious-transaction reporting.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SAR — Suspicious Activity Report:</w:t>
      </w:r>
      <w:r>
        <w:t xml:space="preserve"> </w:t>
      </w:r>
      <w:r>
        <w:t xml:space="preserve">interoperability alias only. SAR must not create a second suspicious-report domain or decision path; an external SAR mapping resolves to the canonical STR semantic.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CTR — Cash Transaction Report:</w:t>
      </w:r>
      <w:r>
        <w:t xml:space="preserve"> </w:t>
      </w:r>
      <w:r>
        <w:t xml:space="preserve">a distinct regulatory-report class. It must not be modeled as a suspicious-report alias and must not create a second decision authority.</w:t>
      </w:r>
    </w:p>
    <w:p>
      <w:pPr>
        <w:pStyle w:val="Compact"/>
        <w:numPr>
          <w:ilvl w:val="0"/>
          <w:numId w:val="1003"/>
        </w:numPr>
      </w:pPr>
      <w:r>
        <w:t xml:space="preserve">Additional national/regulator-specific report types may be added through the same contract without changing the Decision Runtime.</w:t>
      </w:r>
    </w:p>
    <w:p>
      <w:pPr>
        <w:pStyle w:val="FirstParagraph"/>
      </w:pPr>
      <w:r>
        <w:t xml:space="preserve">The canonical contract therefore carries</w:t>
      </w:r>
      <w:r>
        <w:t xml:space="preserve"> </w:t>
      </w:r>
      <w:r>
        <w:rPr>
          <w:rStyle w:val="VerbatimChar"/>
        </w:rPr>
        <w:t xml:space="preserve">report_type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jurisdiction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reporting_authority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external_report_code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external_reference</w:t>
      </w:r>
      <w:r>
        <w:t xml:space="preserve">, source decision/case identifiers, subject references, confidentiality classification, and an explicit submission lifecycle.</w:t>
      </w:r>
    </w:p>
    <w:p>
      <w:pPr>
        <w:pStyle w:val="BodyText"/>
      </w:pPr>
      <w:r>
        <w:t xml:space="preserve">This design is intentionally extensible for future regulators, jurisdictions, report schemas, transport protocols, and amendment workflows without changing the Decision DNA contract or duplicating business logic.</w:t>
      </w:r>
    </w:p>
    <w:p>
      <w:pPr>
        <w:pStyle w:val="BodyText"/>
      </w:pPr>
      <w:r>
        <w:t xml:space="preserve">Saudi regulatory material uses the term</w:t>
      </w:r>
      <w:r>
        <w:t xml:space="preserve"> </w:t>
      </w:r>
      <w:r>
        <w:rPr>
          <w:b/>
          <w:bCs/>
        </w:rPr>
        <w:t xml:space="preserve">Suspicious Transaction Report</w:t>
      </w:r>
      <w:r>
        <w:t xml:space="preserve"> </w:t>
      </w:r>
      <w:r>
        <w:t xml:space="preserve">and requires suspicious transactions, including unsuccessful attempts where the reasonable grounds exist, to be reported regardless of transaction value. The competent authority specifies the adopted reporting form and required information. citeturn910959search4turn910959search8</w:t>
      </w:r>
    </w:p>
    <w:p>
      <w:pPr>
        <w:pStyle w:val="BodyText"/>
      </w:pPr>
      <w:r>
        <w:t xml:space="preserve">FATF guidance recognizes STRs as a core FIU report stream and treats cash transaction reports and other report categories as separate sources where required by national legislation. citeturn156027search18</w:t>
      </w:r>
    </w:p>
    <w:p>
      <w:pPr>
        <w:pStyle w:val="Heading2"/>
      </w:pPr>
      <w:bookmarkStart w:id="12" w:name="_08114ae753f92b6bc0fafd3721e870514f24b6f"/>
      <w:r>
        <w:t xml:space="preserve">Reporting lifecycle</w:t>
      </w:r>
    </w:p>
    <w:p>
      <w:pPr>
        <w:pStyle w:val="FirstParagraph"/>
      </w:pPr>
      <w:r>
        <w:t xml:space="preserve">Regulatory reporting is downstream of:</w:t>
      </w:r>
    </w:p>
    <w:p>
      <w:pPr>
        <w:pStyle w:val="BodyText"/>
      </w:pPr>
      <w:r>
        <w:rPr>
          <w:rStyle w:val="VerbatimChar"/>
        </w:rPr>
        <w:t xml:space="preserve">Decision DNA → Evidence → Case/Investigation → Regulatory Report Model → Authorization → Submission/Export → Audit</w:t>
      </w:r>
    </w:p>
    <w:p>
      <w:pPr>
        <w:pStyle w:val="BodyText"/>
      </w:pPr>
      <w:r>
        <w:t xml:space="preserve">The reporting layer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recalculate risk, recreate screening, or decide whether a transaction is suspicious. It consumes authoritative Decision/Evidence/Case state and records the reporting decision and outcome separately.</w:t>
      </w:r>
    </w:p>
    <w:p>
      <w:pPr>
        <w:pStyle w:val="Heading2"/>
      </w:pPr>
      <w:bookmarkStart w:id="13" w:name="_14da74909abc7265dbd274ac81ddf463ccc0121"/>
      <w:r>
        <w:t xml:space="preserve">Executive / Admin presentation</w:t>
      </w:r>
    </w:p>
    <w:p>
      <w:pPr>
        <w:pStyle w:val="FirstParagraph"/>
      </w:pPr>
      <w:r>
        <w:t xml:space="preserve">A future unified Admin/Executive surface can present one chronological Activity Ledger, version history, authorization changes, configuration changes, and regulatory-reporting activity. The UI remains read-only over the canonical audit and reporting boundaries.</w:t>
      </w:r>
    </w:p>
    <w:p>
      <w:pPr>
        <w:pStyle w:val="Heading2"/>
      </w:pPr>
      <w:bookmarkStart w:id="14" w:name="_d8862657e938aa3986327342de6aafe41ee95ca"/>
      <w:r>
        <w:t xml:space="preserve">STR/SAR/CTR document generation</w:t>
      </w:r>
    </w:p>
    <w:p>
      <w:pPr>
        <w:pStyle w:val="FirstParagraph"/>
      </w:pPr>
      <w:r>
        <w:t xml:space="preserve">PDF or regulator-specific payload generation must use the canonical</w:t>
      </w:r>
      <w:r>
        <w:t xml:space="preserve"> </w:t>
      </w:r>
      <w:r>
        <w:rPr>
          <w:rStyle w:val="VerbatimChar"/>
        </w:rPr>
        <w:t xml:space="preserve">RegulatoryReport</w:t>
      </w:r>
      <w:r>
        <w:t xml:space="preserve"> </w:t>
      </w:r>
      <w:r>
        <w:t xml:space="preserve">model. It must:</w:t>
      </w:r>
    </w:p>
    <w:p>
      <w:pPr>
        <w:pStyle w:val="Compact"/>
        <w:numPr>
          <w:ilvl w:val="0"/>
          <w:numId w:val="1004"/>
        </w:numPr>
      </w:pPr>
      <w:r>
        <w:t xml:space="preserve">enforce RBAC and tenant authorization;</w:t>
      </w:r>
    </w:p>
    <w:p>
      <w:pPr>
        <w:pStyle w:val="Compact"/>
        <w:numPr>
          <w:ilvl w:val="0"/>
          <w:numId w:val="1004"/>
        </w:numPr>
      </w:pPr>
      <w:r>
        <w:t xml:space="preserve">apply explicit confidentiality/classification controls;</w:t>
      </w:r>
    </w:p>
    <w:p>
      <w:pPr>
        <w:pStyle w:val="Compact"/>
        <w:numPr>
          <w:ilvl w:val="0"/>
          <w:numId w:val="1004"/>
        </w:numPr>
      </w:pPr>
      <w:r>
        <w:t xml:space="preserve">link back to originating decision/case/report identifiers;</w:t>
      </w:r>
    </w:p>
    <w:p>
      <w:pPr>
        <w:pStyle w:val="Compact"/>
        <w:numPr>
          <w:ilvl w:val="0"/>
          <w:numId w:val="1004"/>
        </w:numPr>
      </w:pPr>
      <w:r>
        <w:t xml:space="preserve">support regulator-specific schemas through adapters/mappers rather than duplicated domain logic;</w:t>
      </w:r>
    </w:p>
    <w:p>
      <w:pPr>
        <w:pStyle w:val="Compact"/>
        <w:numPr>
          <w:ilvl w:val="0"/>
          <w:numId w:val="1004"/>
        </w:numPr>
      </w:pPr>
      <w:r>
        <w:t xml:space="preserve">emit</w:t>
      </w:r>
      <w:r>
        <w:t xml:space="preserve"> </w:t>
      </w:r>
      <w:r>
        <w:rPr>
          <w:rStyle w:val="VerbatimChar"/>
        </w:rPr>
        <w:t xml:space="preserve">export_requested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report_generated</w:t>
      </w:r>
      <w:r>
        <w:t xml:space="preserve"> </w:t>
      </w:r>
      <w:r>
        <w:t xml:space="preserve">audit events;</w:t>
      </w:r>
    </w:p>
    <w:p>
      <w:pPr>
        <w:pStyle w:val="Compact"/>
        <w:numPr>
          <w:ilvl w:val="0"/>
          <w:numId w:val="1004"/>
        </w:numPr>
      </w:pPr>
      <w:r>
        <w:t xml:space="preserve">preserve the submitted external reference and amendment lineage;</w:t>
      </w:r>
    </w:p>
    <w:p>
      <w:pPr>
        <w:pStyle w:val="Compact"/>
        <w:numPr>
          <w:ilvl w:val="0"/>
          <w:numId w:val="1004"/>
        </w:numPr>
      </w:pPr>
      <w:r>
        <w:t xml:space="preserve">avoid sensitive-data leakage through URLs, logs, client storage, or uncontrolled files.</w:t>
      </w:r>
    </w:p>
    <w:p>
      <w:pPr>
        <w:pStyle w:val="FirstParagraph"/>
      </w:pPr>
      <w:r>
        <w:t xml:space="preserve">Confidential report generation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considered production-complete until the security, authorization, encryption, retention, and audit controls are enforced at the export boundary.</w:t>
      </w:r>
    </w:p>
    <w:p>
      <w:pPr>
        <w:pStyle w:val="Heading2"/>
      </w:pPr>
      <w:bookmarkStart w:id="15" w:name="_f73a27ab1ccaf4629e26690de5fd946d474d974"/>
      <w:r>
        <w:t xml:space="preserve">Long-term architectural rule</w:t>
      </w:r>
    </w:p>
    <w:p>
      <w:pPr>
        <w:pStyle w:val="FirstParagraph"/>
      </w:pPr>
      <w:r>
        <w:t xml:space="preserve">The reporting contract is designed to survive the future evolution of HISN from the current modular-monolith implementation to independently deployable services, white-label deployments, new jurisdictions, new regulatory schemas, and new reporting transports. Those future changes may replace implementations behind the same canonical contracts; they must not create parallel Decision, Evidence, Case, or Audit authorities.</w:t>
      </w:r>
    </w:p>
    <w:p>
      <w:pPr>
        <w:pStyle w:val="BodyText"/>
      </w:pPr>
      <w:r>
        <w:t xml:space="preserve">UBO/KYB remains part of the canonical enrichment boundary. Future Wathq connectivity belongs behind the existing provider/adapter boundary and must not create a second decision path.</w:t>
      </w:r>
    </w:p>
    <w:p>
      <w:pPr>
        <w:pStyle w:val="BodyText"/>
      </w:pPr>
      <w:r>
        <w:t xml:space="preserve">This boundary intentionally does not introduce another audit database, event bus, dashboard route, Decision Runtime reporting logic, microservices split, or white-label implementation.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CANONICAL ACTIVITY LEDGER AND REPORTING</dc:title>
  <dc:creator>HISN Platform</dc:creator>
  <cp:keywords>HISN, FCDOS, financial crime, decision operating system</cp:keywords>
  <dcterms:created xsi:type="dcterms:W3CDTF">2026-10-13T12:57:05Z</dcterms:created>
  <dcterms:modified xsi:type="dcterms:W3CDTF">2026-10-13T12:57:05Z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