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d279c93802dd29e0328c927ba3ea306d6e78f91"/>
      <w:r>
        <w:t xml:space="preserve">HISN FCDOS — Five-Track CTO / CISO Closure Plan</w:t>
      </w:r>
    </w:p>
    <w:p>
      <w:pPr>
        <w:pStyle w:val="FirstParagraph"/>
      </w:pPr>
      <w:r>
        <w:rPr>
          <w:b/>
          <w:bCs/>
        </w:rPr>
        <w:t xml:space="preserve">Assessment date:</w:t>
      </w:r>
      <w:r>
        <w:t xml:space="preserve"> </w:t>
      </w:r>
      <w:r>
        <w:t xml:space="preserve">2026-10-10</w:t>
      </w:r>
      <w:r>
        <w:br/>
      </w:r>
      <w:r>
        <w:rPr>
          <w:b/>
          <w:bCs/>
        </w:rPr>
        <w:t xml:space="preserve">Branch baseline inspected:</w:t>
      </w:r>
      <w:r>
        <w:t xml:space="preserve"> </w:t>
      </w:r>
      <w:r>
        <w:rPr>
          <w:rStyle w:val="VerbatimChar"/>
        </w:rPr>
        <w:t xml:space="preserve">main@8070dd36a0ed0af0bf34ca1731a987722e36100c</w:t>
      </w:r>
      <w:r>
        <w:br/>
      </w:r>
      <w:r>
        <w:rPr>
          <w:b/>
          <w:bCs/>
        </w:rPr>
        <w:t xml:space="preserve">Status:</w:t>
      </w:r>
      <w:r>
        <w:t xml:space="preserve"> </w:t>
      </w:r>
      <w:r>
        <w:t xml:space="preserve">IN PROGRESS — review/verification evidence required; no regulatory approval or production admission is inferred.</w:t>
      </w:r>
    </w:p>
    <w:p>
      <w:pPr>
        <w:pStyle w:val="Heading2"/>
      </w:pPr>
      <w:bookmarkStart w:id="10" w:name="_a6ac149080b9134c0f5372d0e62eb93e0db1ccf"/>
      <w:r>
        <w:t xml:space="preserve">Purpose and acceptance model</w:t>
      </w:r>
    </w:p>
    <w:p>
      <w:pPr>
        <w:pStyle w:val="FirstParagraph"/>
      </w:pPr>
      <w:r>
        <w:t xml:space="preserve">This plan ties the five execution requests to a single evidence-driven closure standard. Every track must name an owner, source of truth, exact implementation boundary, reproducible test/artifact, and independent/operational acceptance where needed. Evidence must identify the tested commit and deployment; tests from a different commit do not close the current commit.</w:t>
      </w:r>
    </w:p>
    <w:p>
      <w:pPr>
        <w:pStyle w:val="BodyText"/>
      </w:pPr>
      <w:r>
        <w:t xml:space="preserve">Evidence ladder: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Specified:</w:t>
      </w:r>
      <w:r>
        <w:t xml:space="preserve"> </w:t>
      </w:r>
      <w:r>
        <w:t xml:space="preserve">contract/requirement exists in controlled documentation.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Implemented:</w:t>
      </w:r>
      <w:r>
        <w:t xml:space="preserve"> </w:t>
      </w:r>
      <w:r>
        <w:t xml:space="preserve">implementation is linked to that requirement.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Engineering-tested:</w:t>
      </w:r>
      <w:r>
        <w:t xml:space="preserve"> </w:t>
      </w:r>
      <w:r>
        <w:t xml:space="preserve">exact implementation passed named tests on an identified commit.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Operationally verified:</w:t>
      </w:r>
      <w:r>
        <w:t xml:space="preserve"> </w:t>
      </w:r>
      <w:r>
        <w:t xml:space="preserve">target-environment control was exercised and the evidence retained.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Independently assured:</w:t>
      </w:r>
      <w:r>
        <w:t xml:space="preserve"> </w:t>
      </w:r>
      <w:r>
        <w:t xml:space="preserve">qualified independent review/penetration/restoration/assessment evidence exists.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Customer / regulator accepted:</w:t>
      </w:r>
      <w:r>
        <w:t xml:space="preserve"> </w:t>
      </w:r>
      <w:r>
        <w:t xml:space="preserve">a named, attributable acceptance exists where required.</w:t>
      </w:r>
    </w:p>
    <w:p>
      <w:pPr>
        <w:pStyle w:val="BodyText"/>
      </w:pPr>
      <w:r>
        <w:t xml:space="preserve">These states are not interchangeable.</w:t>
      </w:r>
    </w:p>
    <w:p>
      <w:pPr>
        <w:pStyle w:val="Heading2"/>
      </w:pPr>
      <w:bookmarkStart w:id="11" w:name="_27d9bba26bef49ffa75bba537cf12228d2e8d7c"/>
      <w:r>
        <w:t xml:space="preserve">Track 1 — Decision lifecycle truth</w:t>
      </w:r>
    </w:p>
    <w:p>
      <w:pPr>
        <w:pStyle w:val="FirstParagraph"/>
      </w:pPr>
      <w:r>
        <w:rPr>
          <w:b/>
          <w:bCs/>
        </w:rPr>
        <w:t xml:space="preserve">Authority:</w:t>
      </w:r>
      <w:r>
        <w:t xml:space="preserve"> </w:t>
      </w:r>
      <w:r>
        <w:rPr>
          <w:rStyle w:val="VerbatimChar"/>
        </w:rPr>
        <w:t xml:space="preserve">src/api/evaluate.py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src/core/runtime/engine.py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src/platform/decision/lifecycle.py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src/core/decision_dna/store.py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src/core/decision_dna/details.py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Current evidence:</w:t>
      </w:r>
      <w:r>
        <w:t xml:space="preserve"> </w:t>
      </w:r>
      <w:r>
        <w:t xml:space="preserve">existing Gate 04 tests assert the persisted DNA row, tenant/transaction/decision IDs, audit event order, chain validity, detail readback, correlation, replay protection, and tenant read isolation. The canonical Golden Path tests the source adapter path through runtime and persistence.</w:t>
      </w:r>
    </w:p>
    <w:p>
      <w:pPr>
        <w:pStyle w:val="BodyText"/>
      </w:pPr>
      <w:r>
        <w:rPr>
          <w:b/>
          <w:bCs/>
        </w:rPr>
        <w:t xml:space="preserve">Actions:</w:t>
      </w:r>
      <w:r>
        <w:t xml:space="preserve"> </w:t>
      </w:r>
      <w:r>
        <w:t xml:space="preserve">run the canonical test command on this branch after changes; retain the full terminal artifact and exact HEAD; keep the lifecycle trace synchronized with code; ensure current HEAD has no duplicate Decision DNA writer. Manual CSV import remains import-only and must not be represented as a decisioning path.</w:t>
      </w:r>
    </w:p>
    <w:p>
      <w:pPr>
        <w:pStyle w:val="BodyText"/>
      </w:pPr>
      <w:r>
        <w:rPr>
          <w:b/>
          <w:bCs/>
        </w:rPr>
        <w:t xml:space="preserve">Closure artifact:</w:t>
      </w:r>
      <w:r>
        <w:t xml:space="preserve"> </w:t>
      </w:r>
      <w:r>
        <w:t xml:space="preserve">exact-head full regression + Gate 04 + Golden Path output; DB-backed test identifiers; zero unexplained failures/skips.</w:t>
      </w:r>
    </w:p>
    <w:p>
      <w:pPr>
        <w:pStyle w:val="BodyText"/>
      </w:pPr>
      <w:r>
        <w:rPr>
          <w:b/>
          <w:bCs/>
        </w:rPr>
        <w:t xml:space="preserve">State:</w:t>
      </w:r>
      <w:r>
        <w:t xml:space="preserve"> </w:t>
      </w:r>
      <w:r>
        <w:t xml:space="preserve">implementation/test anchors exist; exact-head execution remains to be proven in CI/current terminal.</w:t>
      </w:r>
    </w:p>
    <w:p>
      <w:pPr>
        <w:pStyle w:val="Heading2"/>
      </w:pPr>
      <w:bookmarkStart w:id="12" w:name="_6a3ab853b3a9616125ae3cb11b9d8d35c58a89d"/>
      <w:r>
        <w:t xml:space="preserve">Track 2 — Clause-level regulatory traceability</w:t>
      </w:r>
    </w:p>
    <w:p>
      <w:pPr>
        <w:pStyle w:val="FirstParagraph"/>
      </w:pPr>
      <w:r>
        <w:rPr>
          <w:b/>
          <w:bCs/>
        </w:rPr>
        <w:t xml:space="preserve">Authority:</w:t>
      </w:r>
      <w:r>
        <w:t xml:space="preserve"> </w:t>
      </w:r>
      <w:r>
        <w:t xml:space="preserve">Architecture Bible official-source registry and regulatory domain model; Platform owns executable policy, decision binding, persistence and readback.</w:t>
      </w:r>
    </w:p>
    <w:p>
      <w:pPr>
        <w:pStyle w:val="BodyText"/>
      </w:pPr>
      <w:r>
        <w:rPr>
          <w:b/>
          <w:bCs/>
        </w:rPr>
        <w:t xml:space="preserve">Actions:</w:t>
      </w:r>
      <w:r>
        <w:t xml:space="preserve"> </w:t>
      </w:r>
      <w:r>
        <w:t xml:space="preserve">identify the exact official instrument/version/article/paragraph and effective dates; record sector/entity/license applicability; map requirement -&gt; control objective -&gt; HISN capability -&gt; policy -&gt; actual scenario/version -&gt; evidence/test. Do not translate R-code aliases or scenario presence into a claim of legal compliance. Do not accept legal basis authored by the browser.</w:t>
      </w:r>
    </w:p>
    <w:p>
      <w:pPr>
        <w:pStyle w:val="BodyText"/>
      </w:pPr>
      <w:r>
        <w:rPr>
          <w:b/>
          <w:bCs/>
        </w:rPr>
        <w:t xml:space="preserve">Acceptance:</w:t>
      </w:r>
      <w:r>
        <w:t xml:space="preserve"> </w:t>
      </w:r>
      <w:r>
        <w:t xml:space="preserve">each decision’s regulatory lineage is server-resolved, applicable and effective at decision time; source/version metadata persists immutably; tests prove positive mapping and fail-safe treatment of unknown, superseded, or inapplicable references.</w:t>
      </w:r>
    </w:p>
    <w:p>
      <w:pPr>
        <w:pStyle w:val="BodyText"/>
      </w:pPr>
      <w:r>
        <w:rPr>
          <w:b/>
          <w:bCs/>
        </w:rPr>
        <w:t xml:space="preserve">State:</w:t>
      </w:r>
      <w:r>
        <w:t xml:space="preserve"> </w:t>
      </w:r>
      <w:r>
        <w:t xml:space="preserve">schema and Decision DNA fields exist; complete source-backed resolution for live</w:t>
      </w:r>
      <w:r>
        <w:t xml:space="preserve"> </w:t>
      </w:r>
      <w:r>
        <w:rPr>
          <w:rStyle w:val="VerbatimChar"/>
        </w:rPr>
        <w:t xml:space="preserve">POST /api/evaluate</w:t>
      </w:r>
      <w:r>
        <w:t xml:space="preserve"> </w:t>
      </w:r>
      <w:r>
        <w:t xml:space="preserve">is not yet proven.</w:t>
      </w:r>
    </w:p>
    <w:p>
      <w:pPr>
        <w:pStyle w:val="Heading2"/>
      </w:pPr>
      <w:bookmarkStart w:id="13" w:name="_fc22c5625a5aac975087799440228208a41d092"/>
      <w:r>
        <w:t xml:space="preserve">Track 3 — Investigator journey</w:t>
      </w:r>
    </w:p>
    <w:p>
      <w:pPr>
        <w:pStyle w:val="FirstParagraph"/>
      </w:pPr>
      <w:r>
        <w:rPr>
          <w:b/>
          <w:bCs/>
        </w:rPr>
        <w:t xml:space="preserve">Authority:</w:t>
      </w:r>
      <w:r>
        <w:t xml:space="preserve"> </w:t>
      </w:r>
      <w:r>
        <w:t xml:space="preserve">Platform decision/details/case/audit contracts; frontend is an API consumer only.</w:t>
      </w:r>
    </w:p>
    <w:p>
      <w:pPr>
        <w:pStyle w:val="BodyText"/>
      </w:pPr>
      <w:r>
        <w:rPr>
          <w:b/>
          <w:bCs/>
        </w:rPr>
        <w:t xml:space="preserve">Actions:</w:t>
      </w:r>
      <w:r>
        <w:t xml:space="preserve"> </w:t>
      </w:r>
      <w:r>
        <w:t xml:space="preserve">an authenticated Playwright flow submits unique synthetic input; captures</w:t>
      </w:r>
      <w:r>
        <w:t xml:space="preserve"> </w:t>
      </w:r>
      <w:r>
        <w:rPr>
          <w:rStyle w:val="VerbatimChar"/>
        </w:rPr>
        <w:t xml:space="preserve">POST /api/evaluate</w:t>
      </w:r>
      <w:r>
        <w:t xml:space="preserve">; checks the visible decision ID equals the returned ID; loads</w:t>
      </w:r>
      <w:r>
        <w:t xml:space="preserve"> </w:t>
      </w:r>
      <w:r>
        <w:rPr>
          <w:rStyle w:val="VerbatimChar"/>
        </w:rPr>
        <w:t xml:space="preserve">GET /api/decisions/{id}</w:t>
      </w:r>
      <w:r>
        <w:t xml:space="preserve">; verifies transaction, evidence IDs, regulatory basis and audit identifiers belong to that same decision; when escalated, checks case linkage in every view. Add negative-access and tenant-boundary assertions. Case creation is conditional on canonical</w:t>
      </w:r>
      <w:r>
        <w:t xml:space="preserve"> </w:t>
      </w:r>
      <w:r>
        <w:rPr>
          <w:rStyle w:val="VerbatimChar"/>
        </w:rPr>
        <w:t xml:space="preserve">escalate</w:t>
      </w:r>
      <w:r>
        <w:t xml:space="preserve">; other outcomes must not fabricate a case.</w:t>
      </w:r>
    </w:p>
    <w:p>
      <w:pPr>
        <w:pStyle w:val="BodyText"/>
      </w:pPr>
      <w:r>
        <w:rPr>
          <w:b/>
          <w:bCs/>
        </w:rPr>
        <w:t xml:space="preserve">Acceptance:</w:t>
      </w:r>
      <w:r>
        <w:t xml:space="preserve"> </w:t>
      </w:r>
      <w:r>
        <w:t xml:space="preserve">browser trace (HAR/trace/screenshot as appropriate) with exact API responses, backend audit verification response, and the tested frontend/backend SHAs. Credential-dependent tests skipped in CI are NOT RUN, not PASS.</w:t>
      </w:r>
    </w:p>
    <w:p>
      <w:pPr>
        <w:pStyle w:val="BodyText"/>
      </w:pPr>
      <w:r>
        <w:rPr>
          <w:b/>
          <w:bCs/>
        </w:rPr>
        <w:t xml:space="preserve">State:</w:t>
      </w:r>
      <w:r>
        <w:t xml:space="preserve"> </w:t>
      </w:r>
      <w:r>
        <w:t xml:space="preserve">frontend SDK and screen have the canonical calls and ID-based read pattern; full authenticated cross-surface proof remains open until E2E runs with controlled credentials.</w:t>
      </w:r>
    </w:p>
    <w:p>
      <w:pPr>
        <w:pStyle w:val="Heading2"/>
      </w:pPr>
      <w:bookmarkStart w:id="14" w:name="_58ef30057ae284934e4c1cfa101ef71c18397b4"/>
      <w:r>
        <w:t xml:space="preserve">Track 4 — AML scenario quality and measurement</w:t>
      </w:r>
    </w:p>
    <w:p>
      <w:pPr>
        <w:pStyle w:val="FirstParagraph"/>
      </w:pPr>
      <w:r>
        <w:rPr>
          <w:b/>
          <w:bCs/>
        </w:rPr>
        <w:t xml:space="preserve">Authority:</w:t>
      </w:r>
      <w:r>
        <w:t xml:space="preserve"> </w:t>
      </w:r>
      <w:r>
        <w:rPr>
          <w:rStyle w:val="VerbatimChar"/>
        </w:rPr>
        <w:t xml:space="preserve">src/domains/aml/scenarios/catalog.py</w:t>
      </w:r>
      <w:r>
        <w:t xml:space="preserve">,</w:t>
      </w:r>
      <w:r>
        <w:t xml:space="preserve"> </w:t>
      </w:r>
      <w:r>
        <w:rPr>
          <w:rStyle w:val="VerbatimChar"/>
        </w:rPr>
        <w:t xml:space="preserve">AML_TM_SCENARIO_CATALOG_2026-09-26.md</w:t>
      </w:r>
      <w:r>
        <w:t xml:space="preserve">, canonical AML execution/Decision DNA and Golden Path tests.</w:t>
      </w:r>
    </w:p>
    <w:p>
      <w:pPr>
        <w:pStyle w:val="BodyText"/>
      </w:pPr>
      <w:r>
        <w:rPr>
          <w:b/>
          <w:bCs/>
        </w:rPr>
        <w:t xml:space="preserve">Actions:</w:t>
      </w:r>
      <w:r>
        <w:t xml:space="preserve"> </w:t>
      </w:r>
      <w:r>
        <w:t xml:space="preserve">preserve one canonical owner per scenario; version scenario, policy, engine/model; list required input fields, sources, lookback window, missing-data/degraded behavior, expected signal, reason code and evidence shape; maintain positive/negative/boundary vectors. Distinguish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 </w:t>
      </w:r>
      <w:r>
        <w:t xml:space="preserve">runtime inventory from validated effectiveness. Build a labeled, representative, privacy-controlled validation cohort and measure precision, recall, false-positive rate, alert rate, calibration where relevant, p50/p95/p99 latency and throughput by scenario/tenant volume. Document thresholds, sample size, label quality, exclusions, drift monitoring and approval. ML signal must not independently author regulatory legal conclusions.</w:t>
      </w:r>
    </w:p>
    <w:p>
      <w:pPr>
        <w:pStyle w:val="BodyText"/>
      </w:pPr>
      <w:r>
        <w:rPr>
          <w:b/>
          <w:bCs/>
        </w:rPr>
        <w:t xml:space="preserve">Acceptance:</w:t>
      </w:r>
      <w:r>
        <w:t xml:space="preserve"> </w:t>
      </w:r>
      <w:r>
        <w:t xml:space="preserve">each claimed scenario has deterministic test vectors and observed result; quality metrics have a dated dataset/methodology and independently reviewed thresholds; load profile and latency results are on an identified environment/commit.</w:t>
      </w:r>
    </w:p>
    <w:p>
      <w:pPr>
        <w:pStyle w:val="BodyText"/>
      </w:pPr>
      <w:r>
        <w:rPr>
          <w:b/>
          <w:bCs/>
        </w:rPr>
        <w:t xml:space="preserve">State:</w:t>
      </w:r>
      <w:r>
        <w:t xml:space="preserve"> </w:t>
      </w:r>
      <w:r>
        <w:t xml:space="preserve">catalog/runtime and extensive test anchors exist; independently validated detection quality and target-scale performance cannot be inferred from unit tests or ACTIVE labels.</w:t>
      </w:r>
    </w:p>
    <w:p>
      <w:pPr>
        <w:pStyle w:val="Heading2"/>
      </w:pPr>
      <w:bookmarkStart w:id="15" w:name="_e45fc63e9a851ccc9fb63cdda224eb635aef167"/>
      <w:r>
        <w:t xml:space="preserve">Track 5 — Operational readiness, security, resilience and acceptance</w:t>
      </w:r>
    </w:p>
    <w:p>
      <w:pPr>
        <w:pStyle w:val="FirstParagraph"/>
      </w:pPr>
      <w:r>
        <w:rPr>
          <w:b/>
          <w:bCs/>
        </w:rPr>
        <w:t xml:space="preserve">Evidence required (not satisfied by code presence alone):</w:t>
      </w:r>
      <w:r>
        <w:t xml:space="preserve"> </w:t>
      </w:r>
      <w:r>
        <w:t xml:space="preserve">- Identity &amp; tenant boundary: live cross-tenant read/write denial, RLS + FORCE RLS verification on production schema, privileges and break-glass trail.</w:t>
      </w:r>
      <w:r>
        <w:t xml:space="preserve"> </w:t>
      </w:r>
      <w:r>
        <w:t xml:space="preserve">- Secrets/key management: no secrets in repository/logs, owner-approved rotation, KMS/HSM/encryption evidence appropriate to the deployment.</w:t>
      </w:r>
      <w:r>
        <w:t xml:space="preserve"> </w:t>
      </w:r>
      <w:r>
        <w:t xml:space="preserve">- Vulnerability assurance: current dependency/container scans, remediation dispositions, independent penetration/application assessment.</w:t>
      </w:r>
      <w:r>
        <w:t xml:space="preserve"> </w:t>
      </w:r>
      <w:r>
        <w:t xml:space="preserve">- Monitoring/incident response: production metrics, logs/traces, actionable alerts, incident roles/runbook and exercised escalation.</w:t>
      </w:r>
      <w:r>
        <w:t xml:space="preserve"> </w:t>
      </w:r>
      <w:r>
        <w:t xml:space="preserve">- Backup &amp; recovery: successful backup and restore exercise, measured RPO/RTO, recovery result and approver.</w:t>
      </w:r>
      <w:r>
        <w:t xml:space="preserve"> </w:t>
      </w:r>
      <w:r>
        <w:t xml:space="preserve">- Privacy/data lifecycle: approved data inventory/ROPA/retention/deletion/cross-border assessment where applicable.</w:t>
      </w:r>
      <w:r>
        <w:t xml:space="preserve"> </w:t>
      </w:r>
      <w:r>
        <w:t xml:space="preserve">- Change/release controls: current-head artifact, non-bypassable branch/release admission where available, signed review/rollback evidence.</w:t>
      </w:r>
      <w:r>
        <w:t xml:space="preserve"> </w:t>
      </w:r>
      <w:r>
        <w:t xml:space="preserve">- Customer controls: documented target scope, operational runbook/SLA, user acceptance, open-defect disposition and approved pilot limitations.</w:t>
      </w:r>
      <w:r>
        <w:t xml:space="preserve"> </w:t>
      </w:r>
      <w:r>
        <w:t xml:space="preserve">- Regulatory / independent acceptance: separately attributed legal/compliance review, external assurance and customer/regulator decisions wherever required. Never self-label these as closed.</w:t>
      </w:r>
    </w:p>
    <w:p>
      <w:pPr>
        <w:pStyle w:val="BodyText"/>
      </w:pPr>
      <w:r>
        <w:rPr>
          <w:b/>
          <w:bCs/>
        </w:rPr>
        <w:t xml:space="preserve">Acceptance:</w:t>
      </w:r>
      <w:r>
        <w:t xml:space="preserve"> </w:t>
      </w:r>
      <w:r>
        <w:t xml:space="preserve">attach timestamped evidence and responsible person for each control; state not-applicable with rationale where legitimate. Missing evidence remains OPEN / HUMAN ACTION.</w:t>
      </w:r>
    </w:p>
    <w:p>
      <w:pPr>
        <w:pStyle w:val="BodyText"/>
      </w:pPr>
      <w:r>
        <w:rPr>
          <w:b/>
          <w:bCs/>
        </w:rPr>
        <w:t xml:space="preserve">State:</w:t>
      </w:r>
      <w:r>
        <w:t xml:space="preserve"> </w:t>
      </w:r>
      <w:r>
        <w:t xml:space="preserve">OPEN until target-environment and independent/customer artifacts are supplied and verified.</w:t>
      </w:r>
    </w:p>
    <w:p>
      <w:pPr>
        <w:pStyle w:val="Heading2"/>
      </w:pPr>
      <w:bookmarkStart w:id="16" w:name="_96916e99ecc5d46a22ecf284607da5475f69c68"/>
      <w:r>
        <w:t xml:space="preserve">Current disposition</w:t>
      </w:r>
    </w:p>
    <w:p>
      <w:pPr>
        <w:pStyle w:val="FirstParagraph"/>
      </w:pPr>
      <w:r>
        <w:t xml:space="preserve">No production deploy, runtime mutation, test credentials, SAMA acceptance, independent penetration test, or customer acceptance was created by this documentation/test change. Merge and deployment remain separate release decisions after CI, review, and required controls pass.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FCDOS FIVE TRACK CLOSURE 2026-10-10</dc:title>
  <dc:creator>HISN Platform</dc:creator>
  <cp:keywords>HISN, FCDOS, financial crime, decision operating system</cp:keywords>
  <dcterms:created xsi:type="dcterms:W3CDTF">2026-10-13T12:57:04Z</dcterms:created>
  <dcterms:modified xsi:type="dcterms:W3CDTF">2026-10-13T12:57:04Z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