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BlockText"/>
      </w:pPr>
      <w:r>
        <w:rPr>
          <w:b/>
          <w:bCs/>
        </w:rPr>
        <w:t xml:space="preserve">Historical-record notice — 2026-10-02:</w:t>
      </w:r>
      <w:r>
        <w:t xml:space="preserve"> </w:t>
      </w:r>
      <w:r>
        <w:t xml:space="preserve">This dated matrix records the Gate 4B state of its original surgical branch. It is retained unchanged in substance for provenance.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current-main gate authority and must not be used alone to infer present closure status. Current-main closure requires evidence executed against the current main SHA.</w:t>
      </w:r>
    </w:p>
    <w:p>
      <w:pPr>
        <w:pStyle w:val="Heading1"/>
      </w:pPr>
      <w:bookmarkStart w:id="9" w:name="_23ba98b1a78c50070c4f8d79707e9e2be7f8517"/>
      <w:r>
        <w:t xml:space="preserve">Gate 4B — AML / Transaction Monitoring Closure Matrix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2026-09-26</w:t>
      </w:r>
      <w:r>
        <w:br/>
      </w:r>
      <w:r>
        <w:rPr>
          <w:b/>
          <w:bCs/>
        </w:rPr>
        <w:t xml:space="preserve">Historical branch:</w:t>
      </w:r>
      <w:r>
        <w:t xml:space="preserve"> </w:t>
      </w:r>
      <w:r>
        <w:rPr>
          <w:rStyle w:val="VerbatimChar"/>
        </w:rPr>
        <w:t xml:space="preserve">surg-02r-aml-canonicalization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HISTORICAL BASELINE — NOT CURRENT-MAIN STATUS</w:t>
      </w:r>
    </w:p>
    <w:p>
      <w:pPr>
        <w:pStyle w:val="Heading2"/>
      </w:pPr>
      <w:bookmarkStart w:id="10" w:name="_7ae45e4c361d834f5c66d82503c633c1a8d095a"/>
      <w:r>
        <w:t xml:space="preserve">1. Closure target</w:t>
      </w:r>
    </w:p>
    <w:p>
      <w:pPr>
        <w:pStyle w:val="FirstParagraph"/>
      </w:pPr>
      <w:r>
        <w:t xml:space="preserve">Gate 4B closes the</w:t>
      </w:r>
      <w:r>
        <w:t xml:space="preserve"> </w:t>
      </w:r>
      <w:r>
        <w:rPr>
          <w:b/>
          <w:bCs/>
        </w:rPr>
        <w:t xml:space="preserve">AML/TM foundation</w:t>
      </w:r>
      <w:r>
        <w:t xml:space="preserve">, not the entire 40+/52-scenario implementation program.</w:t>
      </w:r>
    </w:p>
    <w:p>
      <w:pPr>
        <w:pStyle w:val="BodyText"/>
      </w:pPr>
      <w:r>
        <w:t xml:space="preserve">Closure means:</w:t>
      </w:r>
    </w:p>
    <w:p>
      <w:pPr>
        <w:pStyle w:val="SourceCode"/>
      </w:pPr>
      <w:r>
        <w:rPr>
          <w:rStyle w:val="VerbatimChar"/>
        </w:rPr>
        <w:t xml:space="preserve">authoritative catalog</w:t>
      </w:r>
      <w:r>
        <w:br/>
      </w:r>
      <w:r>
        <w:rPr>
          <w:rStyle w:val="VerbatimChar"/>
        </w:rPr>
        <w:t xml:space="preserve">      +</w:t>
      </w:r>
      <w:r>
        <w:br/>
      </w:r>
      <w:r>
        <w:rPr>
          <w:rStyle w:val="VerbatimChar"/>
        </w:rPr>
        <w:t xml:space="preserve">regulatory mapping</w:t>
      </w:r>
      <w:r>
        <w:br/>
      </w:r>
      <w:r>
        <w:rPr>
          <w:rStyle w:val="VerbatimChar"/>
        </w:rPr>
        <w:t xml:space="preserve">      +</w:t>
      </w:r>
      <w:r>
        <w:br/>
      </w:r>
      <w:r>
        <w:rPr>
          <w:rStyle w:val="VerbatimChar"/>
        </w:rPr>
        <w:t xml:space="preserve">canonical owner</w:t>
      </w:r>
      <w:r>
        <w:br/>
      </w:r>
      <w:r>
        <w:rPr>
          <w:rStyle w:val="VerbatimChar"/>
        </w:rPr>
        <w:t xml:space="preserve">      +</w:t>
      </w:r>
      <w:r>
        <w:br/>
      </w:r>
      <w:r>
        <w:rPr>
          <w:rStyle w:val="VerbatimChar"/>
        </w:rPr>
        <w:t xml:space="preserve">canonical execution proof for active scenarios</w:t>
      </w:r>
      <w:r>
        <w:br/>
      </w:r>
      <w:r>
        <w:rPr>
          <w:rStyle w:val="VerbatimChar"/>
        </w:rPr>
        <w:t xml:space="preserve">      +</w:t>
      </w:r>
      <w:r>
        <w:br/>
      </w:r>
      <w:r>
        <w:rPr>
          <w:rStyle w:val="VerbatimChar"/>
        </w:rPr>
        <w:t xml:space="preserve">replay proof</w:t>
      </w:r>
      <w:r>
        <w:br/>
      </w:r>
      <w:r>
        <w:rPr>
          <w:rStyle w:val="VerbatimChar"/>
        </w:rPr>
        <w:t xml:space="preserve">      +</w:t>
      </w:r>
      <w:r>
        <w:br/>
      </w:r>
      <w:r>
        <w:rPr>
          <w:rStyle w:val="VerbatimChar"/>
        </w:rPr>
        <w:t xml:space="preserve">tenant-isolation proof</w:t>
      </w:r>
      <w:r>
        <w:br/>
      </w:r>
      <w:r>
        <w:rPr>
          <w:rStyle w:val="VerbatimChar"/>
        </w:rPr>
        <w:t xml:space="preserve">      +</w:t>
      </w:r>
      <w:r>
        <w:br/>
      </w:r>
      <w:r>
        <w:rPr>
          <w:rStyle w:val="VerbatimChar"/>
        </w:rPr>
        <w:t xml:space="preserve">evidence/audit proof</w:t>
      </w:r>
      <w:r>
        <w:br/>
      </w:r>
      <w:r>
        <w:rPr>
          <w:rStyle w:val="VerbatimChar"/>
        </w:rPr>
        <w:t xml:space="preserve">      +</w:t>
      </w:r>
      <w:r>
        <w:br/>
      </w:r>
      <w:r>
        <w:rPr>
          <w:rStyle w:val="VerbatimChar"/>
        </w:rPr>
        <w:t xml:space="preserve">no active legacy AML runtime</w:t>
      </w:r>
    </w:p>
    <w:p>
      <w:pPr>
        <w:pStyle w:val="FirstParagraph"/>
      </w:pPr>
      <w:r>
        <w:t xml:space="preserve">After that, future scenarios are implemented</w:t>
      </w:r>
      <w:r>
        <w:t xml:space="preserve"> </w:t>
      </w:r>
      <w:r>
        <w:rPr>
          <w:b/>
          <w:bCs/>
        </w:rPr>
        <w:t xml:space="preserve">one at a time</w:t>
      </w:r>
      <w:r>
        <w:t xml:space="preserve"> </w:t>
      </w:r>
      <w:r>
        <w:t xml:space="preserve">under the same owner and contract.</w:t>
      </w:r>
    </w:p>
    <w:p>
      <w:pPr>
        <w:pStyle w:val="Heading2"/>
      </w:pPr>
      <w:bookmarkStart w:id="11" w:name="_6a7d49c6febc84443bfd4ff4d454312e5b13a5a"/>
      <w:r>
        <w:t xml:space="preserve">2. Evidence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Gate item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Current state</w:t>
            </w:r>
          </w:p>
        </w:tc>
        <w:tc>
          <w:tcPr/>
          <w:p>
            <w:pPr>
              <w:pStyle w:val="Compact"/>
            </w:pPr>
            <w:r>
              <w:t xml:space="preserve">Closure condition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G4B-01 AML authority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src/bootstrap/container.py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src/domains/aml/runtime/engine.py</w:t>
            </w:r>
          </w:p>
        </w:tc>
        <w:tc>
          <w:tcPr/>
          <w:p>
            <w:pPr>
              <w:pStyle w:val="Compact"/>
            </w:pPr>
            <w:r>
              <w:t xml:space="preserve">VERIFIED STATIC</w:t>
            </w:r>
          </w:p>
        </w:tc>
        <w:tc>
          <w:tcPr/>
          <w:p>
            <w:pPr>
              <w:pStyle w:val="Compact"/>
            </w:pPr>
            <w:r>
              <w:t xml:space="preserve">remain sole production AML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G4B-02 file-level forensic census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AML_FORENSIC_INVENTORY_2026-09-26.md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  <w:tc>
          <w:tcPr/>
          <w:p>
            <w:pPr>
              <w:pStyle w:val="Compact"/>
            </w:pPr>
            <w:r>
              <w:t xml:space="preserve">inventory retained as SSOT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G4B-03 scenario catalog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AML_TM_SCENARIO_CATALOG_2026-09-26.md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  <w:tc>
          <w:tcPr/>
          <w:p>
            <w:pPr>
              <w:pStyle w:val="Compact"/>
            </w:pPr>
            <w:r>
              <w:t xml:space="preserve">policy IDs remain stable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G4B-04 regulatory mapping</w:t>
            </w:r>
          </w:p>
        </w:tc>
        <w:tc>
          <w:tcPr/>
          <w:p>
            <w:pPr>
              <w:pStyle w:val="Compact"/>
            </w:pPr>
            <w:r>
              <w:t xml:space="preserve">catalog R1–R13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  <w:tc>
          <w:tcPr/>
          <w:p>
            <w:pPr>
              <w:pStyle w:val="Compact"/>
            </w:pPr>
            <w:r>
              <w:t xml:space="preserve">each active/future scenario maps to control basis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G4B-05 active AML rules</w:t>
            </w:r>
          </w:p>
        </w:tc>
        <w:tc>
          <w:tcPr/>
          <w:p>
            <w:pPr>
              <w:pStyle w:val="Compact"/>
            </w:pPr>
            <w:r>
              <w:t xml:space="preserve">large_amount + high_risk_country + structuring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executable regression 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G4B-06 ML anomaly</w:t>
            </w:r>
          </w:p>
        </w:tc>
        <w:tc>
          <w:tcPr/>
          <w:p>
            <w:pPr>
              <w:pStyle w:val="Compact"/>
            </w:pPr>
            <w:r>
              <w:t xml:space="preserve">canonical rule + provider-gated model path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approved-artifact live E2E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G4B-07 tenant history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tests/test_aml_tenant_history.py</w:t>
            </w:r>
          </w:p>
        </w:tc>
        <w:tc>
          <w:tcPr/>
          <w:p>
            <w:pPr>
              <w:pStyle w:val="Compact"/>
            </w:pPr>
            <w:r>
              <w:t xml:space="preserve">VERIFIED STATIC/TEST CONTRACT</w:t>
            </w:r>
          </w:p>
        </w:tc>
        <w:tc>
          <w:tcPr/>
          <w:p>
            <w:pPr>
              <w:pStyle w:val="Compact"/>
            </w:pPr>
            <w:r>
              <w:t xml:space="preserve">regression 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G4B-08 canonical API AML execution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tests/test_gate04b_aml_scenarios.py</w:t>
            </w:r>
          </w:p>
        </w:tc>
        <w:tc>
          <w:tcPr/>
          <w:p>
            <w:pPr>
              <w:pStyle w:val="Compact"/>
            </w:pPr>
            <w:r>
              <w:t xml:space="preserve">EXECUTED ON MAIN / 605 REGRESSION</w:t>
            </w:r>
          </w:p>
        </w:tc>
        <w:tc>
          <w:tcPr/>
          <w:p>
            <w:pPr>
              <w:pStyle w:val="Compact"/>
            </w:pPr>
            <w:r>
              <w:t xml:space="preserve">current main evidence passes; re-run new scenario-layer tests before merge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G4B-09 replay</w:t>
            </w:r>
          </w:p>
        </w:tc>
        <w:tc>
          <w:tcPr/>
          <w:p>
            <w:pPr>
              <w:pStyle w:val="Compact"/>
            </w:pPr>
            <w:r>
              <w:t xml:space="preserve">same Gate 4B test + existing Gate 4 lifecycle tests</w:t>
            </w:r>
          </w:p>
        </w:tc>
        <w:tc>
          <w:tcPr/>
          <w:p>
            <w:pPr>
              <w:pStyle w:val="Compact"/>
            </w:pPr>
            <w:r>
              <w:t xml:space="preserve">ADDED / EXISTING</w:t>
            </w:r>
          </w:p>
        </w:tc>
        <w:tc>
          <w:tcPr/>
          <w:p>
            <w:pPr>
              <w:pStyle w:val="Compact"/>
            </w:pPr>
            <w:r>
              <w:t xml:space="preserve">409 + same decision_id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G4B-10 cross-tenant isolation</w:t>
            </w:r>
          </w:p>
        </w:tc>
        <w:tc>
          <w:tcPr/>
          <w:p>
            <w:pPr>
              <w:pStyle w:val="Compact"/>
            </w:pPr>
            <w:r>
              <w:t xml:space="preserve">same Gate 4B test + existing Gate 4 lifecycle test</w:t>
            </w:r>
          </w:p>
        </w:tc>
        <w:tc>
          <w:tcPr/>
          <w:p>
            <w:pPr>
              <w:pStyle w:val="Compact"/>
            </w:pPr>
            <w:r>
              <w:t xml:space="preserve">ADDED / EXISTING</w:t>
            </w:r>
          </w:p>
        </w:tc>
        <w:tc>
          <w:tcPr/>
          <w:p>
            <w:pPr>
              <w:pStyle w:val="Compact"/>
            </w:pPr>
            <w:r>
              <w:t xml:space="preserve">other tenant receives 404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G4B-11 audit/integrity</w:t>
            </w:r>
          </w:p>
        </w:tc>
        <w:tc>
          <w:tcPr/>
          <w:p>
            <w:pPr>
              <w:pStyle w:val="Compact"/>
            </w:pPr>
            <w:r>
              <w:t xml:space="preserve">canonical</w:t>
            </w:r>
            <w:r>
              <w:t xml:space="preserve"> </w:t>
            </w:r>
            <w:r>
              <w:rPr>
                <w:rStyle w:val="VerbatimChar"/>
              </w:rPr>
              <w:t xml:space="preserve">/api/evaluate</w:t>
            </w:r>
            <w:r>
              <w:t xml:space="preserve"> </w:t>
            </w:r>
            <w:r>
              <w:t xml:space="preserve">lifecycle tests</w:t>
            </w:r>
          </w:p>
        </w:tc>
        <w:tc>
          <w:tcPr/>
          <w:p>
            <w:pPr>
              <w:pStyle w:val="Compact"/>
            </w:pPr>
            <w:r>
              <w:t xml:space="preserve">EXISTING</w:t>
            </w:r>
          </w:p>
        </w:tc>
        <w:tc>
          <w:tcPr/>
          <w:p>
            <w:pPr>
              <w:pStyle w:val="Compact"/>
            </w:pPr>
            <w:r>
              <w:t xml:space="preserve">integrity remains valid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G4B-12 duplicate AML authority</w:t>
            </w:r>
          </w:p>
        </w:tc>
        <w:tc>
          <w:tcPr/>
          <w:p>
            <w:pPr>
              <w:pStyle w:val="Compact"/>
            </w:pPr>
            <w:r>
              <w:t xml:space="preserve">composition-root + direct consumer census + forensic inventory</w:t>
            </w:r>
          </w:p>
        </w:tc>
        <w:tc>
          <w:tcPr/>
          <w:p>
            <w:pPr>
              <w:pStyle w:val="Compact"/>
            </w:pPr>
            <w:r>
              <w:t xml:space="preserve">VERIFIED STATIC</w:t>
            </w:r>
          </w:p>
        </w:tc>
        <w:tc>
          <w:tcPr/>
          <w:p>
            <w:pPr>
              <w:pStyle w:val="Compact"/>
            </w:pPr>
            <w:r>
              <w:t xml:space="preserve">no current production import; legacy manifest disabled on SURG-02R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G4B-13 legacy manifest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services/aml/manifest.yaml</w:t>
            </w:r>
            <w:r>
              <w:t xml:space="preserve"> </w:t>
            </w:r>
            <w:r>
              <w:t xml:space="preserve">disabled on SURG-02R</w:t>
            </w:r>
          </w:p>
        </w:tc>
        <w:tc>
          <w:tcPr/>
          <w:p>
            <w:pPr>
              <w:pStyle w:val="Compact"/>
            </w:pPr>
            <w:r>
              <w:t xml:space="preserve">VERIFIED STATIC</w:t>
            </w:r>
          </w:p>
        </w:tc>
        <w:tc>
          <w:tcPr/>
          <w:p>
            <w:pPr>
              <w:pStyle w:val="Compact"/>
            </w:pPr>
            <w:r>
              <w:t xml:space="preserve">remains disabled until retirement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G4B-14 deterministic evidence</w:t>
            </w:r>
          </w:p>
        </w:tc>
        <w:tc>
          <w:tcPr/>
          <w:p>
            <w:pPr>
              <w:pStyle w:val="Compact"/>
            </w:pPr>
            <w:r>
              <w:t xml:space="preserve">canonical 52-scenario registry + canonical findings</w:t>
            </w:r>
          </w:p>
        </w:tc>
        <w:tc>
          <w:tcPr/>
          <w:p>
            <w:pPr>
              <w:pStyle w:val="Compact"/>
            </w:pPr>
            <w:r>
              <w:t xml:space="preserve">IMPLEMENTATION ADDED / PENDING EXECUTION</w:t>
            </w:r>
          </w:p>
        </w:tc>
        <w:tc>
          <w:tcPr/>
          <w:p>
            <w:pPr>
              <w:pStyle w:val="Compact"/>
            </w:pPr>
            <w:r>
              <w:t xml:space="preserve">scenario_version + policy_version now attached to active rule findings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G4B-15 52-scenario expansion</w:t>
            </w:r>
          </w:p>
        </w:tc>
        <w:tc>
          <w:tcPr/>
          <w:p>
            <w:pPr>
              <w:pStyle w:val="Compact"/>
            </w:pPr>
            <w:r>
              <w:t xml:space="preserve">catalog only</w:t>
            </w:r>
          </w:p>
        </w:tc>
        <w:tc>
          <w:tcPr/>
          <w:p>
            <w:pPr>
              <w:pStyle w:val="Compact"/>
            </w:pPr>
            <w:r>
              <w:t xml:space="preserve">DEFERRED BY DESIGN</w:t>
            </w:r>
          </w:p>
        </w:tc>
        <w:tc>
          <w:tcPr/>
          <w:p>
            <w:pPr>
              <w:pStyle w:val="Compact"/>
            </w:pPr>
            <w:r>
              <w:t xml:space="preserve">implement sequentially after Gate 4B</w:t>
            </w:r>
          </w:p>
        </w:tc>
      </w:tr>
    </w:tbl>
    <w:p>
      <w:pPr>
        <w:pStyle w:val="Heading2"/>
      </w:pPr>
      <w:bookmarkStart w:id="12" w:name="_a5b17bf4b61101bf675c56cb42d8398bbbf74a5"/>
      <w:r>
        <w:t xml:space="preserve">3. What is actually closed now</w:t>
      </w:r>
    </w:p>
    <w:p>
      <w:pPr>
        <w:pStyle w:val="Heading3"/>
      </w:pPr>
      <w:bookmarkStart w:id="13" w:name="_6949d3f9943a2526e16d599e11eaafc28acc322"/>
      <w:r>
        <w:t xml:space="preserve">Architecture foundation</w:t>
      </w:r>
    </w:p>
    <w:p>
      <w:pPr>
        <w:pStyle w:val="Compact"/>
        <w:numPr>
          <w:ilvl w:val="0"/>
          <w:numId w:val="1001"/>
        </w:numPr>
      </w:pPr>
      <w:r>
        <w:t xml:space="preserve">One canonical AML runtime is identified.</w:t>
      </w:r>
    </w:p>
    <w:p>
      <w:pPr>
        <w:pStyle w:val="Compact"/>
        <w:numPr>
          <w:ilvl w:val="0"/>
          <w:numId w:val="1001"/>
        </w:numPr>
      </w:pPr>
      <w:r>
        <w:t xml:space="preserve">Historical AML generations are enumerated.</w:t>
      </w:r>
    </w:p>
    <w:p>
      <w:pPr>
        <w:pStyle w:val="Compact"/>
        <w:numPr>
          <w:ilvl w:val="0"/>
          <w:numId w:val="1001"/>
        </w:numPr>
      </w:pPr>
      <w:r>
        <w:t xml:space="preserve">Useful behavior has a canonical destination.</w:t>
      </w:r>
    </w:p>
    <w:p>
      <w:pPr>
        <w:pStyle w:val="Compact"/>
        <w:numPr>
          <w:ilvl w:val="0"/>
          <w:numId w:val="1001"/>
        </w:numPr>
      </w:pPr>
      <w:r>
        <w:t xml:space="preserve">No second AML decision authority is being introduced.</w:t>
      </w:r>
    </w:p>
    <w:p>
      <w:pPr>
        <w:pStyle w:val="Compact"/>
        <w:numPr>
          <w:ilvl w:val="0"/>
          <w:numId w:val="1001"/>
        </w:numPr>
      </w:pPr>
      <w:r>
        <w:t xml:space="preserve">Legacy service authority is disabled on the surgical branch.</w:t>
      </w:r>
    </w:p>
    <w:p>
      <w:pPr>
        <w:pStyle w:val="Heading3"/>
      </w:pPr>
      <w:bookmarkStart w:id="14" w:name="_ed92bce978bf4cd7162c4d5a381b08c7f4960a5"/>
      <w:r>
        <w:t xml:space="preserve">Scenario governance</w:t>
      </w:r>
    </w:p>
    <w:p>
      <w:pPr>
        <w:pStyle w:val="Compact"/>
        <w:numPr>
          <w:ilvl w:val="0"/>
          <w:numId w:val="1002"/>
        </w:numPr>
      </w:pPr>
      <w:r>
        <w:t xml:space="preserve">52 scenario IDs are inventoried.</w:t>
      </w:r>
    </w:p>
    <w:p>
      <w:pPr>
        <w:pStyle w:val="Compact"/>
        <w:numPr>
          <w:ilvl w:val="0"/>
          <w:numId w:val="1002"/>
        </w:numPr>
      </w:pPr>
      <w:r>
        <w:t xml:space="preserve">Regulatory control mapping is explicit.</w:t>
      </w:r>
    </w:p>
    <w:p>
      <w:pPr>
        <w:pStyle w:val="Compact"/>
        <w:numPr>
          <w:ilvl w:val="0"/>
          <w:numId w:val="1002"/>
        </w:numPr>
      </w:pPr>
      <w:r>
        <w:t xml:space="preserve">Implementation status is explicit.</w:t>
      </w:r>
    </w:p>
    <w:p>
      <w:pPr>
        <w:pStyle w:val="Compact"/>
        <w:numPr>
          <w:ilvl w:val="0"/>
          <w:numId w:val="1002"/>
        </w:numPr>
      </w:pPr>
      <w:r>
        <w:t xml:space="preserve">Specialist-data scenarios are not being synthesized from generic fields.</w:t>
      </w:r>
    </w:p>
    <w:p>
      <w:pPr>
        <w:pStyle w:val="Compact"/>
        <w:numPr>
          <w:ilvl w:val="0"/>
          <w:numId w:val="1002"/>
        </w:numPr>
      </w:pPr>
      <w:r>
        <w:t xml:space="preserve">Cross-engine capabilities are not duplicated into AML.</w:t>
      </w:r>
    </w:p>
    <w:p>
      <w:pPr>
        <w:pStyle w:val="Heading2"/>
      </w:pPr>
      <w:bookmarkStart w:id="15" w:name="_e53e49a9291161a4265580ff68b7ae074f26529"/>
      <w:r>
        <w:t xml:space="preserve">4. What is intentionally still open</w:t>
      </w:r>
    </w:p>
    <w:p>
      <w:pPr>
        <w:pStyle w:val="Heading3"/>
      </w:pPr>
      <w:bookmarkStart w:id="16" w:name="_bd8632155808ea752639725877947c9c1bc43c4"/>
      <w:r>
        <w:t xml:space="preserve">Open A — execute the new Gate 4B regression</w:t>
      </w:r>
    </w:p>
    <w:p>
      <w:pPr>
        <w:pStyle w:val="FirstParagraph"/>
      </w:pPr>
      <w:r>
        <w:t xml:space="preserve">The new API-level proof must be executed in the clean HISN environment:</w:t>
      </w:r>
    </w:p>
    <w:p>
      <w:pPr>
        <w:pStyle w:val="SourceCode"/>
      </w:pPr>
      <w:r>
        <w:rPr>
          <w:rStyle w:val="VerbatimChar"/>
        </w:rPr>
        <w:t xml:space="preserve">pytest -q tests/test_gate04b_aml_scenarios.py</w:t>
      </w:r>
      <w:r>
        <w:br/>
      </w:r>
      <w:r>
        <w:rPr>
          <w:rStyle w:val="VerbatimChar"/>
        </w:rPr>
        <w:t xml:space="preserve">pytest -q tests/test_aml_tenant_history.py</w:t>
      </w:r>
      <w:r>
        <w:br/>
      </w:r>
      <w:r>
        <w:rPr>
          <w:rStyle w:val="VerbatimChar"/>
        </w:rPr>
        <w:t xml:space="preserve">pytest -q tests/test_gate04_decision_lifecycle.py</w:t>
      </w:r>
      <w:r>
        <w:br/>
      </w:r>
      <w:r>
        <w:rPr>
          <w:rStyle w:val="VerbatimChar"/>
        </w:rPr>
        <w:t xml:space="preserve">pytest -q tests/capabilities/test_ml_anomaly_runtime.py</w:t>
      </w:r>
      <w:r>
        <w:br/>
      </w:r>
      <w:r>
        <w:rPr>
          <w:rStyle w:val="VerbatimChar"/>
        </w:rPr>
        <w:t xml:space="preserve">pytest -q tests/capabilities/test_ml_anomaly_runtime_semantics.py</w:t>
      </w:r>
    </w:p>
    <w:p>
      <w:pPr>
        <w:pStyle w:val="FirstParagraph"/>
      </w:pPr>
      <w:r>
        <w:t xml:space="preserve">The repository does not currently expose a GitHub Actions run for the SURG-02R head, so this document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claim those tests have passed.</w:t>
      </w:r>
    </w:p>
    <w:p>
      <w:pPr>
        <w:pStyle w:val="Heading3"/>
      </w:pPr>
      <w:bookmarkStart w:id="17" w:name="_900182a576aa0f9bd8f6fd2dd1bfc27eb366935"/>
      <w:r>
        <w:t xml:space="preserve">Open B — live ML activation proof</w:t>
      </w:r>
    </w:p>
    <w:p>
      <w:pPr>
        <w:pStyle w:val="FirstParagraph"/>
      </w:pPr>
      <w:r>
        <w:t xml:space="preserve">An approved model artifact must be supplied through the explicit provider path and proven through the canonical API/runtime. No runtime training or fallback is permitted.</w:t>
      </w:r>
    </w:p>
    <w:p>
      <w:pPr>
        <w:pStyle w:val="Heading3"/>
      </w:pPr>
      <w:bookmarkStart w:id="18" w:name="_5c6ceeae141ea1a916236330452c2698006de0b"/>
      <w:r>
        <w:t xml:space="preserve">Open C — scenario version/policy persistence</w:t>
      </w:r>
    </w:p>
    <w:p>
      <w:pPr>
        <w:pStyle w:val="FirstParagraph"/>
      </w:pPr>
      <w:r>
        <w:t xml:space="preserve">The scenario catalog is authoritative at the policy-document level. The executable runtime does not yet persist a full</w:t>
      </w:r>
      <w:r>
        <w:t xml:space="preserve"> </w:t>
      </w:r>
      <w:r>
        <w:rPr>
          <w:rStyle w:val="VerbatimChar"/>
        </w:rPr>
        <w:t xml:space="preserve">scenario_version + policy_version</w:t>
      </w:r>
      <w:r>
        <w:t xml:space="preserve"> </w:t>
      </w:r>
      <w:r>
        <w:t xml:space="preserve">contract for every active AML rule. This becomes a bounded implementation tranche, not a reason to reopen unrelated security gates.</w:t>
      </w:r>
    </w:p>
    <w:p>
      <w:pPr>
        <w:pStyle w:val="Heading2"/>
      </w:pPr>
      <w:bookmarkStart w:id="19" w:name="_78ccb9cc643ad5eb6fd923f77c63bd76544ae76"/>
      <w:r>
        <w:t xml:space="preserve">5. Post-Gate-4B implementation order</w:t>
      </w:r>
    </w:p>
    <w:p>
      <w:pPr>
        <w:pStyle w:val="FirstParagraph"/>
      </w:pPr>
      <w:r>
        <w:t xml:space="preserve">Once G4B-01 through G4B-14 are green:</w:t>
      </w:r>
    </w:p>
    <w:p>
      <w:pPr>
        <w:pStyle w:val="Compact"/>
        <w:numPr>
          <w:ilvl w:val="0"/>
          <w:numId w:val="1003"/>
        </w:numPr>
      </w:pPr>
      <w:r>
        <w:t xml:space="preserve">RAPID_IN_OUT</w:t>
      </w:r>
    </w:p>
    <w:p>
      <w:pPr>
        <w:pStyle w:val="Compact"/>
        <w:numPr>
          <w:ilvl w:val="0"/>
          <w:numId w:val="1003"/>
        </w:numPr>
      </w:pPr>
      <w:r>
        <w:t xml:space="preserve">AML-native VELOCITY</w:t>
      </w:r>
    </w:p>
    <w:p>
      <w:pPr>
        <w:pStyle w:val="Compact"/>
        <w:numPr>
          <w:ilvl w:val="0"/>
          <w:numId w:val="1003"/>
        </w:numPr>
      </w:pPr>
      <w:r>
        <w:t xml:space="preserve">BEHAVIORAL_CHANGE adapter</w:t>
      </w:r>
    </w:p>
    <w:p>
      <w:pPr>
        <w:pStyle w:val="Compact"/>
        <w:numPr>
          <w:ilvl w:val="0"/>
          <w:numId w:val="1003"/>
        </w:numPr>
      </w:pPr>
      <w:r>
        <w:t xml:space="preserve">GEOGRAPHIC_LAYERING / SMURFING composition</w:t>
      </w:r>
    </w:p>
    <w:p>
      <w:pPr>
        <w:pStyle w:val="Compact"/>
        <w:numPr>
          <w:ilvl w:val="0"/>
          <w:numId w:val="1003"/>
        </w:numPr>
      </w:pPr>
      <w:r>
        <w:t xml:space="preserve">DORMANT_REACTIVATION</w:t>
      </w:r>
    </w:p>
    <w:p>
      <w:pPr>
        <w:pStyle w:val="Compact"/>
        <w:numPr>
          <w:ilvl w:val="0"/>
          <w:numId w:val="1003"/>
        </w:numPr>
      </w:pPr>
      <w:r>
        <w:t xml:space="preserve">INCOME_MISMATCH</w:t>
      </w:r>
    </w:p>
    <w:p>
      <w:pPr>
        <w:pStyle w:val="Compact"/>
        <w:numPr>
          <w:ilvl w:val="0"/>
          <w:numId w:val="1003"/>
        </w:numPr>
      </w:pPr>
      <w:r>
        <w:t xml:space="preserve">CASH_INTENSIVE</w:t>
      </w:r>
    </w:p>
    <w:p>
      <w:pPr>
        <w:pStyle w:val="Compact"/>
        <w:numPr>
          <w:ilvl w:val="0"/>
          <w:numId w:val="1003"/>
        </w:numPr>
      </w:pPr>
      <w:r>
        <w:t xml:space="preserve">WIRE_TRANSFER_PATTERN</w:t>
      </w:r>
    </w:p>
    <w:p>
      <w:pPr>
        <w:pStyle w:val="Compact"/>
        <w:numPr>
          <w:ilvl w:val="0"/>
          <w:numId w:val="1003"/>
        </w:numPr>
      </w:pPr>
      <w:r>
        <w:t xml:space="preserve">RELATED_PARTY / MULE_ACCOUNT</w:t>
      </w:r>
    </w:p>
    <w:p>
      <w:pPr>
        <w:pStyle w:val="Compact"/>
        <w:numPr>
          <w:ilvl w:val="0"/>
          <w:numId w:val="1003"/>
        </w:numPr>
      </w:pPr>
      <w:r>
        <w:t xml:space="preserve">specialist-data scenarios only when source contracts exist</w:t>
      </w:r>
    </w:p>
    <w:p>
      <w:pPr>
        <w:pStyle w:val="FirstParagraph"/>
      </w:pPr>
      <w:r>
        <w:t xml:space="preserve">Every item follows:</w:t>
      </w:r>
    </w:p>
    <w:p>
      <w:pPr>
        <w:pStyle w:val="SourceCode"/>
      </w:pPr>
      <w:r>
        <w:rPr>
          <w:rStyle w:val="VerbatimChar"/>
        </w:rPr>
        <w:t xml:space="preserve">spec → owner → regulatory map → input contract → implementation</w:t>
      </w:r>
      <w:r>
        <w:br/>
      </w:r>
      <w:r>
        <w:rPr>
          <w:rStyle w:val="VerbatimChar"/>
        </w:rPr>
        <w:t xml:space="preserve">→ unit tests → boundary tests → negative tests → replay → isolation</w:t>
      </w:r>
      <w:r>
        <w:br/>
      </w:r>
      <w:r>
        <w:rPr>
          <w:rStyle w:val="VerbatimChar"/>
        </w:rPr>
        <w:t xml:space="preserve">→ E2E → evidence/audit → merge</w:t>
      </w:r>
    </w:p>
    <w:p>
      <w:pPr>
        <w:pStyle w:val="Heading2"/>
      </w:pPr>
      <w:bookmarkStart w:id="20" w:name="_036753bed6be87c1a159386b2623eed41c172e9"/>
      <w:r>
        <w:t xml:space="preserve">6. Gate discipline</w:t>
      </w:r>
    </w:p>
    <w:p>
      <w:pPr>
        <w:pStyle w:val="FirstParagraph"/>
      </w:pPr>
      <w:r>
        <w:t xml:space="preserve">This track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reopen:</w:t>
      </w:r>
    </w:p>
    <w:p>
      <w:pPr>
        <w:pStyle w:val="Compact"/>
        <w:numPr>
          <w:ilvl w:val="0"/>
          <w:numId w:val="1004"/>
        </w:numPr>
      </w:pPr>
      <w:r>
        <w:t xml:space="preserve">Gate 8 / Docker / Trivy;</w:t>
      </w:r>
    </w:p>
    <w:p>
      <w:pPr>
        <w:pStyle w:val="Compact"/>
        <w:numPr>
          <w:ilvl w:val="0"/>
          <w:numId w:val="1004"/>
        </w:numPr>
      </w:pPr>
      <w:r>
        <w:t xml:space="preserve">frontend decisioning;</w:t>
      </w:r>
    </w:p>
    <w:p>
      <w:pPr>
        <w:pStyle w:val="Compact"/>
        <w:numPr>
          <w:ilvl w:val="0"/>
          <w:numId w:val="1004"/>
        </w:numPr>
      </w:pPr>
      <w:r>
        <w:t xml:space="preserve">platform rewrite;</w:t>
      </w:r>
    </w:p>
    <w:p>
      <w:pPr>
        <w:pStyle w:val="Compact"/>
        <w:numPr>
          <w:ilvl w:val="0"/>
          <w:numId w:val="1004"/>
        </w:numPr>
      </w:pPr>
      <w:r>
        <w:t xml:space="preserve">microservice split;</w:t>
      </w:r>
    </w:p>
    <w:p>
      <w:pPr>
        <w:pStyle w:val="Compact"/>
        <w:numPr>
          <w:ilvl w:val="0"/>
          <w:numId w:val="1004"/>
        </w:numPr>
      </w:pPr>
      <w:r>
        <w:t xml:space="preserve">broad repository cleanup.</w:t>
      </w:r>
    </w:p>
    <w:p>
      <w:pPr>
        <w:pStyle w:val="FirstParagraph"/>
      </w:pPr>
      <w:r>
        <w:t xml:space="preserve">The surgical objective is AML/TM foundation closure, then controlled development.</w:t>
      </w:r>
    </w:p>
    <w:p>
      <w:pPr>
        <w:pStyle w:val="Heading2"/>
      </w:pPr>
      <w:bookmarkStart w:id="21" w:name="_1b2cb9a40a63fee868ca26d6e4f13035bb96354"/>
      <w:r>
        <w:t xml:space="preserve">7. Exit statement</w:t>
      </w:r>
    </w:p>
    <w:p>
      <w:pPr>
        <w:pStyle w:val="FirstParagraph"/>
      </w:pPr>
      <w:r>
        <w:rPr>
          <w:b/>
          <w:bCs/>
        </w:rPr>
        <w:t xml:space="preserve">Gate 4B is closed only when the executable test evidence above is green.</w:t>
      </w:r>
    </w:p>
    <w:p>
      <w:pPr>
        <w:pStyle w:val="BodyText"/>
      </w:pPr>
      <w:r>
        <w:t xml:space="preserve">Until then the correct status is:</w:t>
      </w:r>
    </w:p>
    <w:p>
      <w:pPr>
        <w:pStyle w:val="BodyText"/>
      </w:pPr>
      <w:r>
        <w:rPr>
          <w:b/>
          <w:bCs/>
        </w:rPr>
        <w:t xml:space="preserve">AML FOUNDATION — CANONICALIZED, GOVERNED, TEST-SPECIFIED, NOT YET CLOSED.</w:t>
      </w:r>
    </w:p>
    <w:p>
      <w:pPr>
        <w:pStyle w:val="Heading3"/>
      </w:pPr>
      <w:bookmarkStart w:id="22" w:name="_a154f17bb76f10c282f0e4525223ed28455b6da"/>
      <w:r>
        <w:t xml:space="preserve">Current 52-scenario implementation tranche</w:t>
      </w:r>
    </w:p>
    <w:p>
      <w:pPr>
        <w:pStyle w:val="FirstParagraph"/>
      </w:pPr>
      <w:r>
        <w:t xml:space="preserve">The complete 52-item catalog is now represented by</w:t>
      </w:r>
      <w:r>
        <w:t xml:space="preserve"> </w:t>
      </w:r>
      <w:r>
        <w:rPr>
          <w:rStyle w:val="VerbatimChar"/>
        </w:rPr>
        <w:t xml:space="preserve">src/domains/aml/scenarios/catalog.py</w:t>
      </w:r>
      <w:r>
        <w:t xml:space="preserve"> </w:t>
      </w:r>
      <w:r>
        <w:t xml:space="preserve">under canonical AML ownership. This is a contract/registry tranche, not a claim that all 52 are executable.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remains limited to scenarios with executable evidence;</w:t>
      </w:r>
      <w:r>
        <w:t xml:space="preserve"> </w:t>
      </w:r>
      <w:r>
        <w:rPr>
          <w:rStyle w:val="VerbatimChar"/>
        </w:rPr>
        <w:t xml:space="preserve">FOUNDATION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EXISTS-ELSEWHERE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GAP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SPECIALIST-DATA</w:t>
      </w:r>
      <w:r>
        <w:t xml:space="preserve"> </w:t>
      </w:r>
      <w:r>
        <w:t xml:space="preserve">preserve their explicit ownership/data prerequisites.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GATE 4B AML TM CLOSURE MATRIX 2026-09-26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