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ad2a23c351c9a9c947490c511909a5c81753981"/>
      <w:r>
        <w:t xml:space="preserve">HISN TSP Acceptance Matrix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MANDATORY TEST CONTRACT</w:t>
      </w:r>
      <w:r>
        <w:br/>
      </w:r>
      <w:r>
        <w:rPr>
          <w:b/>
          <w:bCs/>
        </w:rPr>
        <w:t xml:space="preserve">Effective:</w:t>
      </w:r>
      <w:r>
        <w:t xml:space="preserve"> </w:t>
      </w:r>
      <w:r>
        <w:t xml:space="preserve">2026-10-07</w:t>
      </w:r>
      <w:r>
        <w:br/>
      </w:r>
      <w:r>
        <w:rPr>
          <w:b/>
          <w:bCs/>
        </w:rPr>
        <w:t xml:space="preserve">Authority:</w:t>
      </w:r>
      <w:r>
        <w:t xml:space="preserve"> </w:t>
      </w:r>
      <w:r>
        <w:t xml:space="preserve">TSP Control Plane Implementation Contract v1.1</w:t>
      </w:r>
    </w:p>
    <w:p>
      <w:pPr>
        <w:pStyle w:val="Heading2"/>
      </w:pPr>
      <w:bookmarkStart w:id="10" w:name="_98b5b8bc9323d4fa9b35acf90cb89e4de3da332"/>
      <w:r>
        <w:t xml:space="preserve">1. Definition of Done</w:t>
      </w:r>
    </w:p>
    <w:p>
      <w:pPr>
        <w:pStyle w:val="FirstParagraph"/>
      </w:pPr>
      <w:r>
        <w:t xml:space="preserve">A TSP implementation is</w:t>
      </w:r>
      <w:r>
        <w:t xml:space="preserve"> </w:t>
      </w:r>
      <w:r>
        <w:rPr>
          <w:b/>
          <w:bCs/>
        </w:rPr>
        <w:t xml:space="preserve">DONE</w:t>
      </w:r>
      <w:r>
        <w:t xml:space="preserve"> </w:t>
      </w:r>
      <w:r>
        <w:t xml:space="preserve">only when every applicable row below has:</w:t>
      </w:r>
    </w:p>
    <w:p>
      <w:pPr>
        <w:pStyle w:val="Compact"/>
        <w:numPr>
          <w:ilvl w:val="0"/>
          <w:numId w:val="1001"/>
        </w:numPr>
      </w:pPr>
      <w:r>
        <w:t xml:space="preserve">executable test evidence;</w:t>
      </w:r>
    </w:p>
    <w:p>
      <w:pPr>
        <w:pStyle w:val="Compact"/>
        <w:numPr>
          <w:ilvl w:val="0"/>
          <w:numId w:val="1001"/>
        </w:numPr>
      </w:pPr>
      <w:r>
        <w:t xml:space="preserve">canonical evidence reference;</w:t>
      </w:r>
    </w:p>
    <w:p>
      <w:pPr>
        <w:pStyle w:val="Compact"/>
        <w:numPr>
          <w:ilvl w:val="0"/>
          <w:numId w:val="1001"/>
        </w:numPr>
      </w:pPr>
      <w:r>
        <w:t xml:space="preserve">tenant/RLS proof;</w:t>
      </w:r>
    </w:p>
    <w:p>
      <w:pPr>
        <w:pStyle w:val="Compact"/>
        <w:numPr>
          <w:ilvl w:val="0"/>
          <w:numId w:val="1001"/>
        </w:numPr>
      </w:pPr>
      <w:r>
        <w:t xml:space="preserve">authorization/SoD proof where applicable;</w:t>
      </w:r>
    </w:p>
    <w:p>
      <w:pPr>
        <w:pStyle w:val="Compact"/>
        <w:numPr>
          <w:ilvl w:val="0"/>
          <w:numId w:val="1001"/>
        </w:numPr>
      </w:pPr>
      <w:r>
        <w:t xml:space="preserve">immutable audit proof for state changes;</w:t>
      </w:r>
    </w:p>
    <w:p>
      <w:pPr>
        <w:pStyle w:val="Compact"/>
        <w:numPr>
          <w:ilvl w:val="0"/>
          <w:numId w:val="1001"/>
        </w:numPr>
      </w:pPr>
      <w:r>
        <w:t xml:space="preserve">exact commit SHA;</w:t>
      </w:r>
    </w:p>
    <w:p>
      <w:pPr>
        <w:pStyle w:val="Compact"/>
        <w:numPr>
          <w:ilvl w:val="0"/>
          <w:numId w:val="1001"/>
        </w:numPr>
      </w:pPr>
      <w:r>
        <w:t xml:space="preserve">environment/test command;</w:t>
      </w:r>
    </w:p>
    <w:p>
      <w:pPr>
        <w:pStyle w:val="Compact"/>
        <w:numPr>
          <w:ilvl w:val="0"/>
          <w:numId w:val="1001"/>
        </w:numPr>
      </w:pPr>
      <w:r>
        <w:t xml:space="preserve">PASS/CONDITIONAL/BLOCKED outcome;</w:t>
      </w:r>
    </w:p>
    <w:p>
      <w:pPr>
        <w:pStyle w:val="Compact"/>
        <w:numPr>
          <w:ilvl w:val="0"/>
          <w:numId w:val="1001"/>
        </w:numPr>
      </w:pPr>
      <w:r>
        <w:t xml:space="preserve">named owner for any conditional item.</w:t>
      </w:r>
    </w:p>
    <w:p>
      <w:pPr>
        <w:pStyle w:val="FirstParagraph"/>
      </w:pPr>
      <w:r>
        <w:t xml:space="preserve">A document or passing unit test alone does not close a production/customer gate.</w:t>
      </w:r>
    </w:p>
    <w:p>
      <w:pPr>
        <w:pStyle w:val="Heading2"/>
      </w:pPr>
      <w:bookmarkStart w:id="11" w:name="_a12410aa443685f30fb185975980ba4f5629727"/>
      <w:r>
        <w:t xml:space="preserve">2. Phase DoD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Mandatory tests</w:t>
            </w:r>
          </w:p>
        </w:tc>
        <w:tc>
          <w:tcPr/>
          <w:p>
            <w:pPr>
              <w:pStyle w:val="Compact"/>
            </w:pPr>
            <w:r>
              <w:t xml:space="preserve">Exit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</w:t>
            </w:r>
          </w:p>
        </w:tc>
        <w:tc>
          <w:tcPr/>
          <w:p>
            <w:pPr>
              <w:pStyle w:val="Compact"/>
            </w:pPr>
            <w:r>
              <w:t xml:space="preserve">Contract freeze</w:t>
            </w:r>
          </w:p>
        </w:tc>
        <w:tc>
          <w:tcPr/>
          <w:p>
            <w:pPr>
              <w:pStyle w:val="Compact"/>
            </w:pPr>
            <w:r>
              <w:t xml:space="preserve">TSP-ARCH-001..008</w:t>
            </w:r>
          </w:p>
        </w:tc>
        <w:tc>
          <w:tcPr/>
          <w:p>
            <w:pPr>
              <w:pStyle w:val="Compact"/>
            </w:pPr>
            <w:r>
              <w:t xml:space="preserve">PASS only when vocabulary, states, evidence model and handoff schema are frozen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DB/RLS</w:t>
            </w:r>
          </w:p>
        </w:tc>
        <w:tc>
          <w:tcPr/>
          <w:p>
            <w:pPr>
              <w:pStyle w:val="Compact"/>
            </w:pPr>
            <w:r>
              <w:t xml:space="preserve">TSP-RLS-001..036</w:t>
            </w:r>
          </w:p>
        </w:tc>
        <w:tc>
          <w:tcPr/>
          <w:p>
            <w:pPr>
              <w:pStyle w:val="Compact"/>
            </w:pPr>
            <w:r>
              <w:t xml:space="preserve">PASS only when every table has tenant_id + evidence_id + ENABLE/FORCE RLS + canonical policies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TSP-DOM-001..024</w:t>
            </w:r>
          </w:p>
        </w:tc>
        <w:tc>
          <w:tcPr/>
          <w:p>
            <w:pPr>
              <w:pStyle w:val="Compact"/>
            </w:pPr>
            <w:r>
              <w:t xml:space="preserve">PASS only when all canonical entities/lifecycles exist with no duplicate SSOT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P3</w:t>
            </w:r>
          </w:p>
        </w:tc>
        <w:tc>
          <w:tcPr/>
          <w:p>
            <w:pPr>
              <w:pStyle w:val="Compact"/>
            </w:pPr>
            <w:r>
              <w:t xml:space="preserve">Control services</w:t>
            </w:r>
          </w:p>
        </w:tc>
        <w:tc>
          <w:tcPr/>
          <w:p>
            <w:pPr>
              <w:pStyle w:val="Compact"/>
            </w:pPr>
            <w:r>
              <w:t xml:space="preserve">TSP-CTRL-001..032</w:t>
            </w:r>
          </w:p>
        </w:tc>
        <w:tc>
          <w:tcPr/>
          <w:p>
            <w:pPr>
              <w:pStyle w:val="Compact"/>
            </w:pPr>
            <w:r>
              <w:t xml:space="preserve">PASS only when classification/risk/DD/contract/exit controls fail closed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P4</w:t>
            </w:r>
          </w:p>
        </w:tc>
        <w:tc>
          <w:tcPr/>
          <w:p>
            <w:pPr>
              <w:pStyle w:val="Compact"/>
            </w:pPr>
            <w:r>
              <w:t xml:space="preserve">API/security</w:t>
            </w:r>
          </w:p>
        </w:tc>
        <w:tc>
          <w:tcPr/>
          <w:p>
            <w:pPr>
              <w:pStyle w:val="Compact"/>
            </w:pPr>
            <w:r>
              <w:t xml:space="preserve">TSP-API-001..032</w:t>
            </w:r>
          </w:p>
        </w:tc>
        <w:tc>
          <w:tcPr/>
          <w:p>
            <w:pPr>
              <w:pStyle w:val="Compact"/>
            </w:pPr>
            <w:r>
              <w:t xml:space="preserve">PASS only when authorization precedes access and all writes 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P5</w:t>
            </w:r>
          </w:p>
        </w:tc>
        <w:tc>
          <w:tcPr/>
          <w:p>
            <w:pPr>
              <w:pStyle w:val="Compact"/>
            </w:pPr>
            <w:r>
              <w:t xml:space="preserve">Evidence/regulatory access</w:t>
            </w:r>
          </w:p>
        </w:tc>
        <w:tc>
          <w:tcPr/>
          <w:p>
            <w:pPr>
              <w:pStyle w:val="Compact"/>
            </w:pPr>
            <w:r>
              <w:t xml:space="preserve">TSP-EVD-001..024</w:t>
            </w:r>
          </w:p>
        </w:tc>
        <w:tc>
          <w:tcPr/>
          <w:p>
            <w:pPr>
              <w:pStyle w:val="Compact"/>
            </w:pPr>
            <w:r>
              <w:t xml:space="preserve">PASS only when every control binds to canonical evidence and regulatory access is read-only/scoped/audited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P6</w:t>
            </w:r>
          </w:p>
        </w:tc>
        <w:tc>
          <w:tcPr/>
          <w:p>
            <w:pPr>
              <w:pStyle w:val="Compact"/>
            </w:pPr>
            <w:r>
              <w:t xml:space="preserve">TSP validation</w:t>
            </w:r>
          </w:p>
        </w:tc>
        <w:tc>
          <w:tcPr/>
          <w:p>
            <w:pPr>
              <w:pStyle w:val="Compact"/>
            </w:pPr>
            <w:r>
              <w:t xml:space="preserve">TSP-VAL-001..008</w:t>
            </w:r>
          </w:p>
        </w:tc>
        <w:tc>
          <w:tcPr/>
          <w:p>
            <w:pPr>
              <w:pStyle w:val="Compact"/>
            </w:pPr>
            <w:r>
              <w:t xml:space="preserve">PASS only when all eight contractual scenarios produce expected state/evidence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P7</w:t>
            </w:r>
          </w:p>
        </w:tc>
        <w:tc>
          <w:tcPr/>
          <w:p>
            <w:pPr>
              <w:pStyle w:val="Compact"/>
            </w:pPr>
            <w:r>
              <w:t xml:space="preserve">Release assurance</w:t>
            </w:r>
          </w:p>
        </w:tc>
        <w:tc>
          <w:tcPr/>
          <w:p>
            <w:pPr>
              <w:pStyle w:val="Compact"/>
            </w:pPr>
            <w:r>
              <w:t xml:space="preserve">TSP-REL-001..016</w:t>
            </w:r>
          </w:p>
        </w:tc>
        <w:tc>
          <w:tcPr/>
          <w:p>
            <w:pPr>
              <w:pStyle w:val="Compact"/>
            </w:pPr>
            <w:r>
              <w:t xml:space="preserve">PASS only after exact-head full regression, migration verification, security checks and release evidence</w:t>
            </w:r>
          </w:p>
        </w:tc>
      </w:tr>
    </w:tbl>
    <w:p>
      <w:pPr>
        <w:pStyle w:val="Heading2"/>
      </w:pPr>
      <w:bookmarkStart w:id="12" w:name="_c01c0fe5efb188685223c040bc1d88bfdd8eae2"/>
      <w:r>
        <w:t xml:space="preserve">3. SAMA Articles 15–40 → Test IDs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SAMA Article</w:t>
            </w:r>
          </w:p>
        </w:tc>
        <w:tc>
          <w:tcPr/>
          <w:p>
            <w:pPr>
              <w:pStyle w:val="Compact"/>
            </w:pPr>
            <w:r>
              <w:t xml:space="preserve">Control focus</w:t>
            </w:r>
          </w:p>
        </w:tc>
        <w:tc>
          <w:tcPr/>
          <w:p>
            <w:pPr>
              <w:pStyle w:val="Compact"/>
            </w:pPr>
            <w:r>
              <w:t xml:space="preserve">Acceptance Test IDs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Policy coverage</w:t>
            </w:r>
          </w:p>
        </w:tc>
        <w:tc>
          <w:tcPr/>
          <w:p>
            <w:pPr>
              <w:pStyle w:val="Compact"/>
            </w:pPr>
            <w:r>
              <w:t xml:space="preserve">TSP-CTRL-001, TSP-EVD-001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16(a)</w:t>
            </w:r>
          </w:p>
        </w:tc>
        <w:tc>
          <w:tcPr/>
          <w:p>
            <w:pPr>
              <w:pStyle w:val="Compact"/>
            </w:pPr>
            <w:r>
              <w:t xml:space="preserve">Project study / critical activity analysis</w:t>
            </w:r>
          </w:p>
        </w:tc>
        <w:tc>
          <w:tcPr/>
          <w:p>
            <w:pPr>
              <w:pStyle w:val="Compact"/>
            </w:pPr>
            <w:r>
              <w:t xml:space="preserve">TSP-CTRL-002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16(b)</w:t>
            </w:r>
          </w:p>
        </w:tc>
        <w:tc>
          <w:tcPr/>
          <w:p>
            <w:pPr>
              <w:pStyle w:val="Compact"/>
            </w:pPr>
            <w:r>
              <w:t xml:space="preserve">Risk-register / control impact</w:t>
            </w:r>
          </w:p>
        </w:tc>
        <w:tc>
          <w:tcPr/>
          <w:p>
            <w:pPr>
              <w:pStyle w:val="Compact"/>
            </w:pPr>
            <w:r>
              <w:t xml:space="preserve">TSP-CTRL-003, TSP-CTRL-004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16(c)</w:t>
            </w:r>
          </w:p>
        </w:tc>
        <w:tc>
          <w:tcPr/>
          <w:p>
            <w:pPr>
              <w:pStyle w:val="Compact"/>
            </w:pPr>
            <w:r>
              <w:t xml:space="preserve">Provider/service selection</w:t>
            </w:r>
          </w:p>
        </w:tc>
        <w:tc>
          <w:tcPr/>
          <w:p>
            <w:pPr>
              <w:pStyle w:val="Compact"/>
            </w:pPr>
            <w:r>
              <w:t xml:space="preserve">TSP-CTRL-005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16(d)</w:t>
            </w:r>
          </w:p>
        </w:tc>
        <w:tc>
          <w:tcPr/>
          <w:p>
            <w:pPr>
              <w:pStyle w:val="Compact"/>
            </w:pPr>
            <w:r>
              <w:t xml:space="preserve">Due diligence</w:t>
            </w:r>
          </w:p>
        </w:tc>
        <w:tc>
          <w:tcPr/>
          <w:p>
            <w:pPr>
              <w:pStyle w:val="Compact"/>
            </w:pPr>
            <w:r>
              <w:t xml:space="preserve">TSP-CTRL-006, TSP-VAL-004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16(e)</w:t>
            </w:r>
          </w:p>
        </w:tc>
        <w:tc>
          <w:tcPr/>
          <w:p>
            <w:pPr>
              <w:pStyle w:val="Compact"/>
            </w:pPr>
            <w:r>
              <w:t xml:space="preserve">Concentration risk</w:t>
            </w:r>
          </w:p>
        </w:tc>
        <w:tc>
          <w:tcPr/>
          <w:p>
            <w:pPr>
              <w:pStyle w:val="Compact"/>
            </w:pPr>
            <w:r>
              <w:t xml:space="preserve">TSP-CTRL-007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16(f)</w:t>
            </w:r>
          </w:p>
        </w:tc>
        <w:tc>
          <w:tcPr/>
          <w:p>
            <w:pPr>
              <w:pStyle w:val="Compact"/>
            </w:pPr>
            <w:r>
              <w:t xml:space="preserve">Board/delegate/committee approval</w:t>
            </w:r>
          </w:p>
        </w:tc>
        <w:tc>
          <w:tcPr/>
          <w:p>
            <w:pPr>
              <w:pStyle w:val="Compact"/>
            </w:pPr>
            <w:r>
              <w:t xml:space="preserve">TSP-API-010, TSP-CTRL-008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16(g)</w:t>
            </w:r>
          </w:p>
        </w:tc>
        <w:tc>
          <w:tcPr/>
          <w:p>
            <w:pPr>
              <w:pStyle w:val="Compact"/>
            </w:pPr>
            <w:r>
              <w:t xml:space="preserve">Comprehensive agreement</w:t>
            </w:r>
          </w:p>
        </w:tc>
        <w:tc>
          <w:tcPr/>
          <w:p>
            <w:pPr>
              <w:pStyle w:val="Compact"/>
            </w:pPr>
            <w:r>
              <w:t xml:space="preserve">TSP-CTRL-009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16(h)</w:t>
            </w:r>
          </w:p>
        </w:tc>
        <w:tc>
          <w:tcPr/>
          <w:p>
            <w:pPr>
              <w:pStyle w:val="Compact"/>
            </w:pPr>
            <w:r>
              <w:t xml:space="preserve">Ongoing monitoring</w:t>
            </w:r>
          </w:p>
        </w:tc>
        <w:tc>
          <w:tcPr/>
          <w:p>
            <w:pPr>
              <w:pStyle w:val="Compact"/>
            </w:pPr>
            <w:r>
              <w:t xml:space="preserve">TSP-CTRL-010, TSP-API-021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16(i)</w:t>
            </w:r>
          </w:p>
        </w:tc>
        <w:tc>
          <w:tcPr/>
          <w:p>
            <w:pPr>
              <w:pStyle w:val="Compact"/>
            </w:pPr>
            <w:r>
              <w:t xml:space="preserve">Renewal</w:t>
            </w:r>
          </w:p>
        </w:tc>
        <w:tc>
          <w:tcPr/>
          <w:p>
            <w:pPr>
              <w:pStyle w:val="Compact"/>
            </w:pPr>
            <w:r>
              <w:t xml:space="preserve">TSP-CTRL-011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16(j)</w:t>
            </w:r>
          </w:p>
        </w:tc>
        <w:tc>
          <w:tcPr/>
          <w:p>
            <w:pPr>
              <w:pStyle w:val="Compact"/>
            </w:pPr>
            <w:r>
              <w:t xml:space="preserve">Contingency / alternative / internal execution</w:t>
            </w:r>
          </w:p>
        </w:tc>
        <w:tc>
          <w:tcPr/>
          <w:p>
            <w:pPr>
              <w:pStyle w:val="Compact"/>
            </w:pPr>
            <w:r>
              <w:t xml:space="preserve">TSP-CTRL-012, TSP-VAL-008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Conflict of interest</w:t>
            </w:r>
          </w:p>
        </w:tc>
        <w:tc>
          <w:tcPr/>
          <w:p>
            <w:pPr>
              <w:pStyle w:val="Compact"/>
            </w:pPr>
            <w:r>
              <w:t xml:space="preserve">TSP-CTRL-013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18(a)</w:t>
            </w:r>
          </w:p>
        </w:tc>
        <w:tc>
          <w:tcPr/>
          <w:p>
            <w:pPr>
              <w:pStyle w:val="Compact"/>
            </w:pPr>
            <w:r>
              <w:t xml:space="preserve">Contract scope</w:t>
            </w:r>
          </w:p>
        </w:tc>
        <w:tc>
          <w:tcPr/>
          <w:p>
            <w:pPr>
              <w:pStyle w:val="Compact"/>
            </w:pPr>
            <w:r>
              <w:t xml:space="preserve">TSP-CTRL-014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18(b)</w:t>
            </w:r>
          </w:p>
        </w:tc>
        <w:tc>
          <w:tcPr/>
          <w:p>
            <w:pPr>
              <w:pStyle w:val="Compact"/>
            </w:pPr>
            <w:r>
              <w:t xml:space="preserve">Legal status</w:t>
            </w:r>
          </w:p>
        </w:tc>
        <w:tc>
          <w:tcPr/>
          <w:p>
            <w:pPr>
              <w:pStyle w:val="Compact"/>
            </w:pPr>
            <w:r>
              <w:t xml:space="preserve">TSP-CTRL-015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18(c)</w:t>
            </w:r>
          </w:p>
        </w:tc>
        <w:tc>
          <w:tcPr/>
          <w:p>
            <w:pPr>
              <w:pStyle w:val="Compact"/>
            </w:pPr>
            <w:r>
              <w:t xml:space="preserve">SLA / performance</w:t>
            </w:r>
          </w:p>
        </w:tc>
        <w:tc>
          <w:tcPr/>
          <w:p>
            <w:pPr>
              <w:pStyle w:val="Compact"/>
            </w:pPr>
            <w:r>
              <w:t xml:space="preserve">TSP-CTRL-016, TSP-API-022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18(d)</w:t>
            </w:r>
          </w:p>
        </w:tc>
        <w:tc>
          <w:tcPr/>
          <w:p>
            <w:pPr>
              <w:pStyle w:val="Compact"/>
            </w:pPr>
            <w:r>
              <w:t xml:space="preserve">Audit / review</w:t>
            </w:r>
          </w:p>
        </w:tc>
        <w:tc>
          <w:tcPr/>
          <w:p>
            <w:pPr>
              <w:pStyle w:val="Compact"/>
            </w:pPr>
            <w:r>
              <w:t xml:space="preserve">TSP-CTRL-017, TSP-EVD-016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18(e)</w:t>
            </w:r>
          </w:p>
        </w:tc>
        <w:tc>
          <w:tcPr/>
          <w:p>
            <w:pPr>
              <w:pStyle w:val="Compact"/>
            </w:pPr>
            <w:r>
              <w:t xml:space="preserve">BCP</w:t>
            </w:r>
          </w:p>
        </w:tc>
        <w:tc>
          <w:tcPr/>
          <w:p>
            <w:pPr>
              <w:pStyle w:val="Compact"/>
            </w:pPr>
            <w:r>
              <w:t xml:space="preserve">TSP-CTRL-018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18(f)</w:t>
            </w:r>
          </w:p>
        </w:tc>
        <w:tc>
          <w:tcPr/>
          <w:p>
            <w:pPr>
              <w:pStyle w:val="Compact"/>
            </w:pPr>
            <w:r>
              <w:t xml:space="preserve">Default / cancellation / insolvency</w:t>
            </w:r>
          </w:p>
        </w:tc>
        <w:tc>
          <w:tcPr/>
          <w:p>
            <w:pPr>
              <w:pStyle w:val="Compact"/>
            </w:pPr>
            <w:r>
              <w:t xml:space="preserve">TSP-CTRL-019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18(g)</w:t>
            </w:r>
          </w:p>
        </w:tc>
        <w:tc>
          <w:tcPr/>
          <w:p>
            <w:pPr>
              <w:pStyle w:val="Compact"/>
            </w:pPr>
            <w:r>
              <w:t xml:space="preserve">Pricing</w:t>
            </w:r>
          </w:p>
        </w:tc>
        <w:tc>
          <w:tcPr/>
          <w:p>
            <w:pPr>
              <w:pStyle w:val="Compact"/>
            </w:pPr>
            <w:r>
              <w:t xml:space="preserve">TSP-CTRL-020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18(h)</w:t>
            </w:r>
          </w:p>
        </w:tc>
        <w:tc>
          <w:tcPr/>
          <w:p>
            <w:pPr>
              <w:pStyle w:val="Compact"/>
            </w:pPr>
            <w:r>
              <w:t xml:space="preserve">Dispute resolution</w:t>
            </w:r>
          </w:p>
        </w:tc>
        <w:tc>
          <w:tcPr/>
          <w:p>
            <w:pPr>
              <w:pStyle w:val="Compact"/>
            </w:pPr>
            <w:r>
              <w:t xml:space="preserve">TSP-CTRL-021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18(i)</w:t>
            </w:r>
          </w:p>
        </w:tc>
        <w:tc>
          <w:tcPr/>
          <w:p>
            <w:pPr>
              <w:pStyle w:val="Compact"/>
            </w:pPr>
            <w:r>
              <w:t xml:space="preserve">Liability / indemnity</w:t>
            </w:r>
          </w:p>
        </w:tc>
        <w:tc>
          <w:tcPr/>
          <w:p>
            <w:pPr>
              <w:pStyle w:val="Compact"/>
            </w:pPr>
            <w:r>
              <w:t xml:space="preserve">TSP-CTRL-022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18(j)</w:t>
            </w:r>
          </w:p>
        </w:tc>
        <w:tc>
          <w:tcPr/>
          <w:p>
            <w:pPr>
              <w:pStyle w:val="Compact"/>
            </w:pPr>
            <w:r>
              <w:t xml:space="preserve">Confidentiality / privacy / security</w:t>
            </w:r>
          </w:p>
        </w:tc>
        <w:tc>
          <w:tcPr/>
          <w:p>
            <w:pPr>
              <w:pStyle w:val="Compact"/>
            </w:pPr>
            <w:r>
              <w:t xml:space="preserve">TSP-CTRL-023, TSP-RLS-001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18(k)</w:t>
            </w:r>
          </w:p>
        </w:tc>
        <w:tc>
          <w:tcPr/>
          <w:p>
            <w:pPr>
              <w:pStyle w:val="Compact"/>
            </w:pPr>
            <w:r>
              <w:t xml:space="preserve">SAMA / auditor access</w:t>
            </w:r>
          </w:p>
        </w:tc>
        <w:tc>
          <w:tcPr/>
          <w:p>
            <w:pPr>
              <w:pStyle w:val="Compact"/>
            </w:pPr>
            <w:r>
              <w:t xml:space="preserve">TSP-EVD-017, TSP-API-024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18(l)</w:t>
            </w:r>
          </w:p>
        </w:tc>
        <w:tc>
          <w:tcPr/>
          <w:p>
            <w:pPr>
              <w:pStyle w:val="Compact"/>
            </w:pPr>
            <w:r>
              <w:t xml:space="preserve">Regulatory compliance</w:t>
            </w:r>
          </w:p>
        </w:tc>
        <w:tc>
          <w:tcPr/>
          <w:p>
            <w:pPr>
              <w:pStyle w:val="Compact"/>
            </w:pPr>
            <w:r>
              <w:t xml:space="preserve">TSP-CTRL-024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18(m)</w:t>
            </w:r>
          </w:p>
        </w:tc>
        <w:tc>
          <w:tcPr/>
          <w:p>
            <w:pPr>
              <w:pStyle w:val="Compact"/>
            </w:pPr>
            <w:r>
              <w:t xml:space="preserve">Subcontracting</w:t>
            </w:r>
          </w:p>
        </w:tc>
        <w:tc>
          <w:tcPr/>
          <w:p>
            <w:pPr>
              <w:pStyle w:val="Compact"/>
            </w:pPr>
            <w:r>
              <w:t xml:space="preserve">TSP-CTRL-025, TSP-VAL-006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18(n)</w:t>
            </w:r>
          </w:p>
        </w:tc>
        <w:tc>
          <w:tcPr/>
          <w:p>
            <w:pPr>
              <w:pStyle w:val="Compact"/>
            </w:pPr>
            <w:r>
              <w:t xml:space="preserve">Reporting / escalation</w:t>
            </w:r>
          </w:p>
        </w:tc>
        <w:tc>
          <w:tcPr/>
          <w:p>
            <w:pPr>
              <w:pStyle w:val="Compact"/>
            </w:pPr>
            <w:r>
              <w:t xml:space="preserve">TSP-CTRL-026, TSP-API-025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18(س)</w:t>
            </w:r>
          </w:p>
        </w:tc>
        <w:tc>
          <w:tcPr/>
          <w:p>
            <w:pPr>
              <w:pStyle w:val="Compact"/>
            </w:pPr>
            <w:r>
              <w:t xml:space="preserve">Control weakness / adverse financial development</w:t>
            </w:r>
          </w:p>
        </w:tc>
        <w:tc>
          <w:tcPr/>
          <w:p>
            <w:pPr>
              <w:pStyle w:val="Compact"/>
            </w:pPr>
            <w:r>
              <w:t xml:space="preserve">TSP-CTRL-027, TSP-VAL-007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18(ع)</w:t>
            </w:r>
          </w:p>
        </w:tc>
        <w:tc>
          <w:tcPr/>
          <w:p>
            <w:pPr>
              <w:pStyle w:val="Compact"/>
            </w:pPr>
            <w:r>
              <w:t xml:space="preserve">Foreign provider access barrier</w:t>
            </w:r>
          </w:p>
        </w:tc>
        <w:tc>
          <w:tcPr/>
          <w:p>
            <w:pPr>
              <w:pStyle w:val="Compact"/>
            </w:pPr>
            <w:r>
              <w:t xml:space="preserve">TSP-CTRL-028, TSP-VAL-005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Renewal / renegotiation / early termination / subcontracting</w:t>
            </w:r>
          </w:p>
        </w:tc>
        <w:tc>
          <w:tcPr/>
          <w:p>
            <w:pPr>
              <w:pStyle w:val="Compact"/>
            </w:pPr>
            <w:r>
              <w:t xml:space="preserve">TSP-CTRL-011, TSP-CTRL-019, TSP-CTRL-025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SAMA access to accounting records</w:t>
            </w:r>
          </w:p>
        </w:tc>
        <w:tc>
          <w:tcPr/>
          <w:p>
            <w:pPr>
              <w:pStyle w:val="Compact"/>
            </w:pPr>
            <w:r>
              <w:t xml:space="preserve">TSP-EVD-018, TSP-API-026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Saudi jurisdiction preference</w:t>
            </w:r>
          </w:p>
        </w:tc>
        <w:tc>
          <w:tcPr/>
          <w:p>
            <w:pPr>
              <w:pStyle w:val="Compact"/>
            </w:pPr>
            <w:r>
              <w:t xml:space="preserve">TSP-CTRL-029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Complaints</w:t>
            </w:r>
          </w:p>
        </w:tc>
        <w:tc>
          <w:tcPr/>
          <w:p>
            <w:pPr>
              <w:pStyle w:val="Compact"/>
            </w:pPr>
            <w:r>
              <w:t xml:space="preserve">TSP-CTRL-030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Critical outsourcing NOC</w:t>
            </w:r>
          </w:p>
        </w:tc>
        <w:tc>
          <w:tcPr/>
          <w:p>
            <w:pPr>
              <w:pStyle w:val="Compact"/>
            </w:pPr>
            <w:r>
              <w:t xml:space="preserve">TSP-CTRL-031, TSP-VAL-003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</w:pPr>
            <w:r>
              <w:t xml:space="preserve">TSP-CTRL-023, TSP-EVD-019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Safety / confidentiality safeguards</w:t>
            </w:r>
          </w:p>
        </w:tc>
        <w:tc>
          <w:tcPr/>
          <w:p>
            <w:pPr>
              <w:pStyle w:val="Compact"/>
            </w:pPr>
            <w:r>
              <w:t xml:space="preserve">TSP-RLS-001..036, TSP-API-027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Return / destruction</w:t>
            </w:r>
          </w:p>
        </w:tc>
        <w:tc>
          <w:tcPr/>
          <w:p>
            <w:pPr>
              <w:pStyle w:val="Compact"/>
            </w:pPr>
            <w:r>
              <w:t xml:space="preserve">TSP-CTRL-032, TSP-VAL-008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Governance structure</w:t>
            </w:r>
          </w:p>
        </w:tc>
        <w:tc>
          <w:tcPr/>
          <w:p>
            <w:pPr>
              <w:pStyle w:val="Compact"/>
            </w:pPr>
            <w:r>
              <w:t xml:space="preserve">TSP-ARCH-007, TSP-CTRL-008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Additional costs / substitution cost</w:t>
            </w:r>
          </w:p>
        </w:tc>
        <w:tc>
          <w:tcPr/>
          <w:p>
            <w:pPr>
              <w:pStyle w:val="Compact"/>
            </w:pPr>
            <w:r>
              <w:t xml:space="preserve">TSP-CTRL-012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Initial / renewal risk assessment</w:t>
            </w:r>
          </w:p>
        </w:tc>
        <w:tc>
          <w:tcPr/>
          <w:p>
            <w:pPr>
              <w:pStyle w:val="Compact"/>
            </w:pPr>
            <w:r>
              <w:t xml:space="preserve">TSP-CTRL-003, TSP-CTRL-011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Provider capability / evaluation / expertise</w:t>
            </w:r>
          </w:p>
        </w:tc>
        <w:tc>
          <w:tcPr/>
          <w:p>
            <w:pPr>
              <w:pStyle w:val="Compact"/>
            </w:pPr>
            <w:r>
              <w:t xml:space="preserve">TSP-CTRL-006, TSP-CTRL-010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Critical arrangement continuity</w:t>
            </w:r>
          </w:p>
        </w:tc>
        <w:tc>
          <w:tcPr/>
          <w:p>
            <w:pPr>
              <w:pStyle w:val="Compact"/>
            </w:pPr>
            <w:r>
              <w:t xml:space="preserve">TSP-CTRL-018, TSP-VAL-008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Alternative / internal execution procedures</w:t>
            </w:r>
          </w:p>
        </w:tc>
        <w:tc>
          <w:tcPr/>
          <w:p>
            <w:pPr>
              <w:pStyle w:val="Compact"/>
            </w:pPr>
            <w:r>
              <w:t xml:space="preserve">TSP-CTRL-012, TSP-VAL-008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Timely unrestricted SAMA access</w:t>
            </w:r>
          </w:p>
        </w:tc>
        <w:tc>
          <w:tcPr/>
          <w:p>
            <w:pPr>
              <w:pStyle w:val="Compact"/>
            </w:pPr>
            <w:r>
              <w:t xml:space="preserve">TSP-EVD-017, TSP-API-024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Auditor/provider-premises access</w:t>
            </w:r>
          </w:p>
        </w:tc>
        <w:tc>
          <w:tcPr/>
          <w:p>
            <w:pPr>
              <w:pStyle w:val="Compact"/>
            </w:pPr>
            <w:r>
              <w:t xml:space="preserve">TSP-EVD-020, TSP-API-028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Communication / SLA monitoring</w:t>
            </w:r>
          </w:p>
        </w:tc>
        <w:tc>
          <w:tcPr/>
          <w:p>
            <w:pPr>
              <w:pStyle w:val="Compact"/>
            </w:pPr>
            <w:r>
              <w:t xml:space="preserve">TSP-API-021, TSP-API-022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Immediate breach / adverse development notification</w:t>
            </w:r>
          </w:p>
        </w:tc>
        <w:tc>
          <w:tcPr/>
          <w:p>
            <w:pPr>
              <w:pStyle w:val="Compact"/>
            </w:pPr>
            <w:r>
              <w:t xml:space="preserve">TSP-CTRL-027, TSP-VAL-007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Critical outsourcing cancellation / transition</w:t>
            </w:r>
          </w:p>
        </w:tc>
        <w:tc>
          <w:tcPr/>
          <w:p>
            <w:pPr>
              <w:pStyle w:val="Compact"/>
            </w:pPr>
            <w:r>
              <w:t xml:space="preserve">TSP-CTRL-019, TSP-VAL-008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Internal audit review</w:t>
            </w:r>
          </w:p>
        </w:tc>
        <w:tc>
          <w:tcPr/>
          <w:p>
            <w:pPr>
              <w:pStyle w:val="Compact"/>
            </w:pPr>
            <w:r>
              <w:t xml:space="preserve">TSP-EVD-021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External expert assessment</w:t>
            </w:r>
          </w:p>
        </w:tc>
        <w:tc>
          <w:tcPr/>
          <w:p>
            <w:pPr>
              <w:pStyle w:val="Compact"/>
            </w:pPr>
            <w:r>
              <w:t xml:space="preserve">TSP-EVD-022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Outsourcing register fields</w:t>
            </w:r>
          </w:p>
        </w:tc>
        <w:tc>
          <w:tcPr/>
          <w:p>
            <w:pPr>
              <w:pStyle w:val="Compact"/>
            </w:pPr>
            <w:r>
              <w:t xml:space="preserve">TSP-EVD-023, TSP-EVD-024</w:t>
            </w:r>
          </w:p>
        </w:tc>
      </w:tr>
    </w:tbl>
    <w:p>
      <w:pPr>
        <w:pStyle w:val="Heading2"/>
      </w:pPr>
      <w:bookmarkStart w:id="13" w:name="_cf22a2c1e44601661cf9c2472d6dc9753d34f46"/>
      <w:r>
        <w:t xml:space="preserve">4. Mandatory cross-cutting tests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TSP-RLS-001..036:</w:t>
      </w:r>
      <w:r>
        <w:t xml:space="preserve"> </w:t>
      </w:r>
      <w:r>
        <w:t xml:space="preserve">each canonical TSP table has tenant_id, evidence_id, ENABLE RLS, FORCE RLS, tenant_context_access and tenant_context_isolation coverage.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TSP-AUTH-001:</w:t>
      </w:r>
      <w:r>
        <w:t xml:space="preserve"> </w:t>
      </w:r>
      <w:r>
        <w:t xml:space="preserve">unauthenticated access fails closed.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TSP-AUTH-002:</w:t>
      </w:r>
      <w:r>
        <w:t xml:space="preserve"> </w:t>
      </w:r>
      <w:r>
        <w:t xml:space="preserve">cross-tenant access returns no foreign rows.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TSP-AUTH-003:</w:t>
      </w:r>
      <w:r>
        <w:t xml:space="preserve"> </w:t>
      </w:r>
      <w:r>
        <w:t xml:space="preserve">maker cannot self-approve required control.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TSP-AUTH-004:</w:t>
      </w:r>
      <w:r>
        <w:t xml:space="preserve"> </w:t>
      </w:r>
      <w:r>
        <w:t xml:space="preserve">regulatory-access operator cannot mutate TSP records.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TSP-EVID-001:</w:t>
      </w:r>
      <w:r>
        <w:t xml:space="preserve"> </w:t>
      </w:r>
      <w:r>
        <w:t xml:space="preserve">state transitions reference canonical evidence.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TSP-EVID-002:</w:t>
      </w:r>
      <w:r>
        <w:t xml:space="preserve"> </w:t>
      </w:r>
      <w:r>
        <w:t xml:space="preserve">evidence reference is immutable; correction creates a new evidence record/reference.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TSP-AUD-001:</w:t>
      </w:r>
      <w:r>
        <w:t xml:space="preserve"> </w:t>
      </w:r>
      <w:r>
        <w:t xml:space="preserve">every mutation has attributable audit evidence.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TSP-FAIL-001:</w:t>
      </w:r>
      <w:r>
        <w:t xml:space="preserve"> </w:t>
      </w:r>
      <w:r>
        <w:t xml:space="preserve">UNKNOWN mandatory control blocks activation.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TSP-FAIL-002:</w:t>
      </w:r>
      <w:r>
        <w:t xml:space="preserve"> </w:t>
      </w:r>
      <w:r>
        <w:t xml:space="preserve">expired mandatory evidence blocks activation.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TSP-FAIL-003:</w:t>
      </w:r>
      <w:r>
        <w:t xml:space="preserve"> </w:t>
      </w:r>
      <w:r>
        <w:t xml:space="preserve">missing approval blocks activation.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TSP-FAIL-004:</w:t>
      </w:r>
      <w:r>
        <w:t xml:space="preserve"> </w:t>
      </w:r>
      <w:r>
        <w:t xml:space="preserve">missing contract control blocks activation.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TSP-FAIL-005:</w:t>
      </w:r>
      <w:r>
        <w:t xml:space="preserve"> </w:t>
      </w:r>
      <w:r>
        <w:t xml:space="preserve">foreign-access barrier blocks applicable foreign-provider activation.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TSP-FAIL-006:</w:t>
      </w:r>
      <w:r>
        <w:t xml:space="preserve"> </w:t>
      </w:r>
      <w:r>
        <w:t xml:space="preserve">critical outsourcing without required customer NOC state remains BLOCKED.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TSP-SCHEMA-001:</w:t>
      </w:r>
      <w:r>
        <w:t xml:space="preserve"> </w:t>
      </w:r>
      <w:r>
        <w:t xml:space="preserve">no canonical entity outside the frozen 18.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TSP-SCHEMA-002:</w:t>
      </w:r>
      <w:r>
        <w:t xml:space="preserve"> </w:t>
      </w:r>
      <w:r>
        <w:t xml:space="preserve">no seventh DecisionEngine registration.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TSP-SCHEMA-003:</w:t>
      </w:r>
      <w:r>
        <w:t xml:space="preserve"> </w:t>
      </w:r>
      <w:r>
        <w:t xml:space="preserve">no second evidence/audit/IAM/RLS implementation.</w:t>
      </w:r>
    </w:p>
    <w:p>
      <w:pPr>
        <w:pStyle w:val="Heading2"/>
      </w:pPr>
      <w:bookmarkStart w:id="14" w:name="_320e218f6bda851fce2fb6db83e9718c3b5db79"/>
      <w:r>
        <w:t xml:space="preserve">5. TSP contractual validation scenarios</w:t>
      </w:r>
    </w:p>
    <w:p>
      <w:pPr>
        <w:pStyle w:val="FirstParagraph"/>
      </w:pPr>
      <w:r>
        <w:t xml:space="preserve">These are</w:t>
      </w:r>
      <w:r>
        <w:t xml:space="preserve"> </w:t>
      </w:r>
      <w:r>
        <w:rPr>
          <w:b/>
          <w:bCs/>
        </w:rPr>
        <w:t xml:space="preserve">new contractual fixtures</w:t>
      </w:r>
      <w:r>
        <w:t xml:space="preserve">, not claims of external-party evidence.</w:t>
      </w:r>
    </w:p>
    <w:p>
      <w:pPr>
        <w:pStyle w:val="Heading3"/>
      </w:pPr>
      <w:bookmarkStart w:id="15" w:name="_155f622a07e116df7e29c26a47fd760188f9cf7"/>
      <w:r>
        <w:t xml:space="preserve">TSP-VAL-001 — Clean technology-only service</w:t>
      </w:r>
    </w:p>
    <w:p>
      <w:pPr>
        <w:pStyle w:val="FirstParagraph"/>
      </w:pPr>
      <w:r>
        <w:t xml:space="preserve">Expected: classification result PASS or CONDITIONAL according to recorded facts; no unsupported outsourcing conclusion; evidence and human applicability approval recorded.</w:t>
      </w:r>
    </w:p>
    <w:p>
      <w:pPr>
        <w:pStyle w:val="Heading3"/>
      </w:pPr>
      <w:bookmarkStart w:id="16" w:name="_084ba558a0c7e74052189b99847eaa71cb3d058"/>
      <w:r>
        <w:t xml:space="preserve">TSP-VAL-002 — Recurring activity that the bank performs or can perform itself</w:t>
      </w:r>
    </w:p>
    <w:p>
      <w:pPr>
        <w:pStyle w:val="FirstParagraph"/>
      </w:pPr>
      <w:r>
        <w:t xml:space="preserve">Expected: outsourcing applicability becomes REQUIRED_FOR_REVIEW; cannot be marked technology-only solely because the delivery mode is SaaS/API.</w:t>
      </w:r>
    </w:p>
    <w:p>
      <w:pPr>
        <w:pStyle w:val="Heading3"/>
      </w:pPr>
      <w:bookmarkStart w:id="17" w:name="_1ff7aa0f0d8dc0254cf660d7e3233fd0231ca8a"/>
      <w:r>
        <w:t xml:space="preserve">TSP-VAL-003 — Critical outsourcing without required customer notification/no-objection state</w:t>
      </w:r>
    </w:p>
    <w:p>
      <w:pPr>
        <w:pStyle w:val="FirstParagraph"/>
      </w:pPr>
      <w:r>
        <w:t xml:space="preserve">Expected: BLOCKED; activation endpoint/state transition rejected; missing NOC evidence visible.</w:t>
      </w:r>
    </w:p>
    <w:p>
      <w:pPr>
        <w:pStyle w:val="Heading3"/>
      </w:pPr>
      <w:bookmarkStart w:id="18" w:name="_fa7a5395e78ee3377ac5b719d7bde6a5f887a75"/>
      <w:r>
        <w:t xml:space="preserve">TSP-VAL-004 — Due diligence incomplete / expired</w:t>
      </w:r>
    </w:p>
    <w:p>
      <w:pPr>
        <w:pStyle w:val="FirstParagraph"/>
      </w:pPr>
      <w:r>
        <w:t xml:space="preserve">Expected: BLOCKED; ACTIVE transition impossible; expired evidence flagged.</w:t>
      </w:r>
    </w:p>
    <w:p>
      <w:pPr>
        <w:pStyle w:val="Heading3"/>
      </w:pPr>
      <w:bookmarkStart w:id="19" w:name="_585034a5967842d6e409b1f90829852f001bb4e"/>
      <w:r>
        <w:t xml:space="preserve">TSP-VAL-005 — Foreign provider / regulatory-access barrier</w:t>
      </w:r>
    </w:p>
    <w:p>
      <w:pPr>
        <w:pStyle w:val="FirstParagraph"/>
      </w:pPr>
      <w:r>
        <w:t xml:space="preserve">Expected: BLOCKED where applicable; foreign-provider legal attestation and access evidence required.</w:t>
      </w:r>
    </w:p>
    <w:p>
      <w:pPr>
        <w:pStyle w:val="Heading3"/>
      </w:pPr>
      <w:bookmarkStart w:id="20" w:name="_3347f255dc50977dece95ada1c97fc6aa06c645"/>
      <w:r>
        <w:t xml:space="preserve">TSP-VAL-006 — Unapproved subprocessor change</w:t>
      </w:r>
    </w:p>
    <w:p>
      <w:pPr>
        <w:pStyle w:val="FirstParagraph"/>
      </w:pPr>
      <w:r>
        <w:t xml:space="preserve">Expected: BLOCKED/SUSPENDED according to customer policy; new subprocessor cannot become effective without required approval and evidence.</w:t>
      </w:r>
    </w:p>
    <w:p>
      <w:pPr>
        <w:pStyle w:val="Heading3"/>
      </w:pPr>
      <w:bookmarkStart w:id="21" w:name="_06964de701d955166707f57754135827eee0615"/>
      <w:r>
        <w:t xml:space="preserve">TSP-VAL-007 — Material incident / adverse development</w:t>
      </w:r>
    </w:p>
    <w:p>
      <w:pPr>
        <w:pStyle w:val="FirstParagraph"/>
      </w:pPr>
      <w:r>
        <w:t xml:space="preserve">Expected: incident recorded, escalation triggered, review state recalculated, required notification state opened, audit/evidence preserved.</w:t>
      </w:r>
    </w:p>
    <w:p>
      <w:pPr>
        <w:pStyle w:val="Heading3"/>
      </w:pPr>
      <w:bookmarkStart w:id="22" w:name="_f8bb7e881f97573a14c38037f846e1f0080c795"/>
      <w:r>
        <w:t xml:space="preserve">TSP-VAL-008 — Exit / continuity / data return</w:t>
      </w:r>
    </w:p>
    <w:p>
      <w:pPr>
        <w:pStyle w:val="FirstParagraph"/>
      </w:pPr>
      <w:r>
        <w:t xml:space="preserve">Expected: EXIT_REQUESTED → transition approval → alternative/internal execution → data return → destruction validation → EXIT_CLOSED; missing step blocks closure.</w:t>
      </w:r>
    </w:p>
    <w:p>
      <w:pPr>
        <w:pStyle w:val="Heading2"/>
      </w:pPr>
      <w:bookmarkStart w:id="23" w:name="_b4355295938a5c70cab05cc66edf3a3d0c08352"/>
      <w:r>
        <w:t xml:space="preserve">6. Acceptance command contract</w:t>
      </w:r>
    </w:p>
    <w:p>
      <w:pPr>
        <w:pStyle w:val="FirstParagraph"/>
      </w:pPr>
      <w:r>
        <w:t xml:space="preserve">The implementation PR must record exact commands and results for:</w:t>
      </w:r>
    </w:p>
    <w:p>
      <w:pPr>
        <w:pStyle w:val="SourceCode"/>
      </w:pPr>
      <w:r>
        <w:rPr>
          <w:rStyle w:val="ExtensionTok"/>
        </w:rPr>
        <w:t xml:space="preserve">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tests/tsp/</w:t>
      </w:r>
      <w:r>
        <w:br/>
      </w:r>
      <w:r>
        <w:rPr>
          <w:rStyle w:val="ExtensionTok"/>
        </w:rPr>
        <w:t xml:space="preserve">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tests/security/test_tenant_rls.py</w:t>
      </w:r>
      <w:r>
        <w:br/>
      </w:r>
      <w:r>
        <w:rPr>
          <w:rStyle w:val="ExtensionTok"/>
        </w:rPr>
        <w:t xml:space="preserve">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tests/test_tenant_isolation_acceptance.py</w:t>
      </w:r>
      <w:r>
        <w:br/>
      </w:r>
      <w:r>
        <w:rPr>
          <w:rStyle w:val="ExtensionTok"/>
        </w:rPr>
        <w:t xml:space="preserve">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</w:p>
    <w:p>
      <w:pPr>
        <w:pStyle w:val="FirstParagraph"/>
      </w:pPr>
      <w:r>
        <w:t xml:space="preserve">The final release record must include the exact implementation SHA. Historical regression counts must not be reused after a material TSP runtime change.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TSP ACCEPTANCE MATRIX</dc:title>
  <dc:creator>HISN Platform</dc:creator>
  <cp:keywords>HISN, FCDOS, financial crime, decision operating system</cp:keywords>
  <dcterms:created xsi:type="dcterms:W3CDTF">2026-10-13T12:57:02Z</dcterms:created>
  <dcterms:modified xsi:type="dcterms:W3CDTF">2026-10-13T12:57:02Z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