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17e78907071f2fe0007c4c3592f2479f62e7491"/>
      <w:r>
        <w:t xml:space="preserve">HISN Third-Party Service Provider Control Plane — Implementation Contract v1.1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CANONICAL DESIGN / IMPLEMENTATION-BLOCKED</w:t>
      </w:r>
      <w:r>
        <w:br/>
      </w:r>
      <w:r>
        <w:rPr>
          <w:b/>
          <w:bCs/>
        </w:rPr>
        <w:t xml:space="preserve">Effective:</w:t>
      </w:r>
      <w:r>
        <w:t xml:space="preserve"> </w:t>
      </w:r>
      <w:r>
        <w:t xml:space="preserve">2026-10-07</w:t>
      </w:r>
      <w:r>
        <w:br/>
      </w:r>
      <w:r>
        <w:rPr>
          <w:b/>
          <w:bCs/>
        </w:rPr>
        <w:t xml:space="preserve">Runtime target:</w:t>
      </w:r>
      <w:r>
        <w:t xml:space="preserve"> </w:t>
      </w:r>
      <w:r>
        <w:rPr>
          <w:rStyle w:val="VerbatimChar"/>
        </w:rPr>
        <w:t xml:space="preserve">Abdo-Tec/hisn-platform</w:t>
      </w:r>
      <w:r>
        <w:br/>
      </w:r>
      <w:r>
        <w:rPr>
          <w:b/>
          <w:bCs/>
        </w:rPr>
        <w:t xml:space="preserve">Regulatory semantic authority:</w:t>
      </w:r>
      <w:r>
        <w:t xml:space="preserve"> </w:t>
      </w:r>
      <w:r>
        <w:t xml:space="preserve">Architecture Bible TSP baseline</w:t>
      </w:r>
      <w:r>
        <w:br/>
      </w:r>
      <w:r>
        <w:rPr>
          <w:b/>
          <w:bCs/>
        </w:rPr>
        <w:t xml:space="preserve">Supersedes:</w:t>
      </w:r>
      <w:r>
        <w:t xml:space="preserve"> </w:t>
      </w:r>
      <w:r>
        <w:t xml:space="preserve">v1.0 for implementation planning</w:t>
      </w:r>
    </w:p>
    <w:p>
      <w:pPr>
        <w:pStyle w:val="Heading2"/>
      </w:pPr>
      <w:bookmarkStart w:id="10" w:name="_6d54dbd0b89c0a025aca2722fd38c4740951b15"/>
      <w:r>
        <w:t xml:space="preserve">1. Executive control decision</w:t>
      </w:r>
    </w:p>
    <w:p>
      <w:pPr>
        <w:pStyle w:val="FirstParagraph"/>
      </w:pPr>
      <w:r>
        <w:t xml:space="preserve">The TSP Control Plane remains a bounded domain inside</w:t>
      </w:r>
      <w:r>
        <w:t xml:space="preserve"> </w:t>
      </w:r>
      <w:r>
        <w:rPr>
          <w:rStyle w:val="VerbatimChar"/>
        </w:rPr>
        <w:t xml:space="preserve">hisn-platform</w:t>
      </w:r>
      <w:r>
        <w:t xml:space="preserve">. It is not a separate repository, microservice, database, evidence store, IAM system, or DecisionEngine.</w:t>
      </w:r>
    </w:p>
    <w:p>
      <w:pPr>
        <w:pStyle w:val="BodyText"/>
      </w:pPr>
      <w:r>
        <w:t xml:space="preserve">The current 2026-10-07 Production Release Freeze remains authoritative. This v1.1 contract freezes the implementation target without activating runtime code.</w:t>
      </w:r>
    </w:p>
    <w:p>
      <w:pPr>
        <w:pStyle w:val="BodyText"/>
      </w:pPr>
      <w:r>
        <w:t xml:space="preserve">Canonical implementation order:</w:t>
      </w:r>
    </w:p>
    <w:p>
      <w:pPr>
        <w:pStyle w:val="SourceCode"/>
      </w:pPr>
      <w:r>
        <w:rPr>
          <w:rStyle w:val="VerbatimChar"/>
        </w:rPr>
        <w:t xml:space="preserve">Contract v1.1</w:t>
      </w:r>
      <w:r>
        <w:br/>
      </w:r>
      <w:r>
        <w:rPr>
          <w:rStyle w:val="VerbatimChar"/>
        </w:rPr>
        <w:t xml:space="preserve">  -&gt; RLS Policy Review</w:t>
      </w:r>
      <w:r>
        <w:br/>
      </w:r>
      <w:r>
        <w:rPr>
          <w:rStyle w:val="VerbatimChar"/>
        </w:rPr>
        <w:t xml:space="preserve">  -&gt; Migration</w:t>
      </w:r>
      <w:r>
        <w:br/>
      </w:r>
      <w:r>
        <w:rPr>
          <w:rStyle w:val="VerbatimChar"/>
        </w:rPr>
        <w:t xml:space="preserve">  -&gt; Domain Entities</w:t>
      </w:r>
      <w:r>
        <w:br/>
      </w:r>
      <w:r>
        <w:rPr>
          <w:rStyle w:val="VerbatimChar"/>
        </w:rPr>
        <w:t xml:space="preserve">  -&gt; Control Services</w:t>
      </w:r>
      <w:r>
        <w:br/>
      </w:r>
      <w:r>
        <w:rPr>
          <w:rStyle w:val="VerbatimChar"/>
        </w:rPr>
        <w:t xml:space="preserve">  -&gt; API + Authorization</w:t>
      </w:r>
      <w:r>
        <w:br/>
      </w:r>
      <w:r>
        <w:rPr>
          <w:rStyle w:val="VerbatimChar"/>
        </w:rPr>
        <w:t xml:space="preserve">  -&gt; Evidence/Audit Binding</w:t>
      </w:r>
      <w:r>
        <w:br/>
      </w:r>
      <w:r>
        <w:rPr>
          <w:rStyle w:val="VerbatimChar"/>
        </w:rPr>
        <w:t xml:space="preserve">  -&gt; TSP Validation</w:t>
      </w:r>
      <w:r>
        <w:br/>
      </w:r>
      <w:r>
        <w:rPr>
          <w:rStyle w:val="VerbatimChar"/>
        </w:rPr>
        <w:t xml:space="preserve">  -&gt; Exact-Head Regression</w:t>
      </w:r>
      <w:r>
        <w:br/>
      </w:r>
      <w:r>
        <w:rPr>
          <w:rStyle w:val="VerbatimChar"/>
        </w:rPr>
        <w:t xml:space="preserve">  -&gt; Release Admission</w:t>
      </w:r>
    </w:p>
    <w:p>
      <w:pPr>
        <w:pStyle w:val="FirstParagraph"/>
      </w:pPr>
      <w:r>
        <w:t xml:space="preserve">A later implementation cannot reorder these gates without an approved architecture change.</w:t>
      </w:r>
    </w:p>
    <w:p>
      <w:pPr>
        <w:pStyle w:val="Heading2"/>
      </w:pPr>
      <w:bookmarkStart w:id="11" w:name="_2986ef85760fbe26f5a66ee08a63f6898d5a0ff"/>
      <w:r>
        <w:t xml:space="preserve">2. Canonical entities</w:t>
      </w:r>
    </w:p>
    <w:p>
      <w:pPr>
        <w:pStyle w:val="FirstParagraph"/>
      </w:pPr>
      <w:r>
        <w:t xml:space="preserve">The only approved TSP domain entities are:</w:t>
      </w:r>
    </w:p>
    <w:p>
      <w:pPr>
        <w:pStyle w:val="Compact"/>
        <w:numPr>
          <w:ilvl w:val="0"/>
          <w:numId w:val="1001"/>
        </w:numPr>
      </w:pPr>
      <w:r>
        <w:t xml:space="preserve">ThirdPartyProvider</w:t>
      </w:r>
    </w:p>
    <w:p>
      <w:pPr>
        <w:pStyle w:val="Compact"/>
        <w:numPr>
          <w:ilvl w:val="0"/>
          <w:numId w:val="1001"/>
        </w:numPr>
      </w:pPr>
      <w:r>
        <w:t xml:space="preserve">ThirdPartyRelationship</w:t>
      </w:r>
    </w:p>
    <w:p>
      <w:pPr>
        <w:pStyle w:val="Compact"/>
        <w:numPr>
          <w:ilvl w:val="0"/>
          <w:numId w:val="1001"/>
        </w:numPr>
      </w:pPr>
      <w:r>
        <w:t xml:space="preserve">ThirdPartyService</w:t>
      </w:r>
    </w:p>
    <w:p>
      <w:pPr>
        <w:pStyle w:val="Compact"/>
        <w:numPr>
          <w:ilvl w:val="0"/>
          <w:numId w:val="1001"/>
        </w:numPr>
      </w:pPr>
      <w:r>
        <w:t xml:space="preserve">ServiceClassification</w:t>
      </w:r>
    </w:p>
    <w:p>
      <w:pPr>
        <w:pStyle w:val="Compact"/>
        <w:numPr>
          <w:ilvl w:val="0"/>
          <w:numId w:val="1001"/>
        </w:numPr>
      </w:pPr>
      <w:r>
        <w:t xml:space="preserve">CriticalityAssessment</w:t>
      </w:r>
    </w:p>
    <w:p>
      <w:pPr>
        <w:pStyle w:val="Compact"/>
        <w:numPr>
          <w:ilvl w:val="0"/>
          <w:numId w:val="1001"/>
        </w:numPr>
      </w:pPr>
      <w:r>
        <w:t xml:space="preserve">DueDiligenceAssessment</w:t>
      </w:r>
    </w:p>
    <w:p>
      <w:pPr>
        <w:pStyle w:val="Compact"/>
        <w:numPr>
          <w:ilvl w:val="0"/>
          <w:numId w:val="1001"/>
        </w:numPr>
      </w:pPr>
      <w:r>
        <w:t xml:space="preserve">RiskAssessment</w:t>
      </w:r>
    </w:p>
    <w:p>
      <w:pPr>
        <w:pStyle w:val="Compact"/>
        <w:numPr>
          <w:ilvl w:val="0"/>
          <w:numId w:val="1001"/>
        </w:numPr>
      </w:pPr>
      <w:r>
        <w:t xml:space="preserve">ConflictOfInterestDeclaration</w:t>
      </w:r>
    </w:p>
    <w:p>
      <w:pPr>
        <w:pStyle w:val="Compact"/>
        <w:numPr>
          <w:ilvl w:val="0"/>
          <w:numId w:val="1001"/>
        </w:numPr>
      </w:pPr>
      <w:r>
        <w:t xml:space="preserve">ContractControlSet</w:t>
      </w:r>
    </w:p>
    <w:p>
      <w:pPr>
        <w:pStyle w:val="Compact"/>
        <w:numPr>
          <w:ilvl w:val="0"/>
          <w:numId w:val="1001"/>
        </w:numPr>
      </w:pPr>
      <w:r>
        <w:t xml:space="preserve">SLAProfile</w:t>
      </w:r>
    </w:p>
    <w:p>
      <w:pPr>
        <w:pStyle w:val="Compact"/>
        <w:numPr>
          <w:ilvl w:val="0"/>
          <w:numId w:val="1001"/>
        </w:numPr>
      </w:pPr>
      <w:r>
        <w:t xml:space="preserve">Subprocessor</w:t>
      </w:r>
    </w:p>
    <w:p>
      <w:pPr>
        <w:pStyle w:val="Compact"/>
        <w:numPr>
          <w:ilvl w:val="0"/>
          <w:numId w:val="1001"/>
        </w:numPr>
      </w:pPr>
      <w:r>
        <w:t xml:space="preserve">DataProcessingProfile</w:t>
      </w:r>
    </w:p>
    <w:p>
      <w:pPr>
        <w:pStyle w:val="Compact"/>
        <w:numPr>
          <w:ilvl w:val="0"/>
          <w:numId w:val="1001"/>
        </w:numPr>
      </w:pPr>
      <w:r>
        <w:t xml:space="preserve">ReviewCycle</w:t>
      </w:r>
    </w:p>
    <w:p>
      <w:pPr>
        <w:pStyle w:val="Compact"/>
        <w:numPr>
          <w:ilvl w:val="0"/>
          <w:numId w:val="1001"/>
        </w:numPr>
      </w:pPr>
      <w:r>
        <w:t xml:space="preserve">IncidentRecord</w:t>
      </w:r>
    </w:p>
    <w:p>
      <w:pPr>
        <w:pStyle w:val="Compact"/>
        <w:numPr>
          <w:ilvl w:val="0"/>
          <w:numId w:val="1001"/>
        </w:numPr>
      </w:pPr>
      <w:r>
        <w:t xml:space="preserve">RegulatoryAccessGrant</w:t>
      </w:r>
    </w:p>
    <w:p>
      <w:pPr>
        <w:pStyle w:val="Compact"/>
        <w:numPr>
          <w:ilvl w:val="0"/>
          <w:numId w:val="1001"/>
        </w:numPr>
      </w:pPr>
      <w:r>
        <w:t xml:space="preserve">BusinessContinuityProfile</w:t>
      </w:r>
    </w:p>
    <w:p>
      <w:pPr>
        <w:pStyle w:val="Compact"/>
        <w:numPr>
          <w:ilvl w:val="0"/>
          <w:numId w:val="1001"/>
        </w:numPr>
      </w:pPr>
      <w:r>
        <w:t xml:space="preserve">ExitPlan</w:t>
      </w:r>
    </w:p>
    <w:p>
      <w:pPr>
        <w:pStyle w:val="Compact"/>
        <w:numPr>
          <w:ilvl w:val="0"/>
          <w:numId w:val="1001"/>
        </w:numPr>
      </w:pPr>
      <w:r>
        <w:t xml:space="preserve">TSPEvidencePack</w:t>
      </w:r>
    </w:p>
    <w:p>
      <w:pPr>
        <w:pStyle w:val="FirstParagraph"/>
      </w:pPr>
      <w:r>
        <w:t xml:space="preserve">No parallel Vendor/Supplier/OutsourcingVendor/RegTechProvider SSOT is permitted.</w:t>
      </w:r>
    </w:p>
    <w:p>
      <w:pPr>
        <w:pStyle w:val="Heading2"/>
      </w:pPr>
      <w:bookmarkStart w:id="12" w:name="_8ec0d80515203c5e8b7b63053fa45838f9cd99c"/>
      <w:r>
        <w:t xml:space="preserve">3. Canonical lifecycle</w:t>
      </w:r>
    </w:p>
    <w:p>
      <w:pPr>
        <w:pStyle w:val="FirstParagraph"/>
      </w:pPr>
      <w:r>
        <w:t xml:space="preserve">Admission:</w:t>
      </w:r>
    </w:p>
    <w:p>
      <w:pPr>
        <w:pStyle w:val="SourceCode"/>
      </w:pPr>
      <w:r>
        <w:rPr>
          <w:rStyle w:val="VerbatimChar"/>
        </w:rPr>
        <w:t xml:space="preserve">DRAFT</w:t>
      </w:r>
      <w:r>
        <w:br/>
      </w:r>
      <w:r>
        <w:rPr>
          <w:rStyle w:val="VerbatimChar"/>
        </w:rPr>
        <w:t xml:space="preserve"> -&gt; CLASSIFICATION_REQUIRED</w:t>
      </w:r>
      <w:r>
        <w:br/>
      </w:r>
      <w:r>
        <w:rPr>
          <w:rStyle w:val="VerbatimChar"/>
        </w:rPr>
        <w:t xml:space="preserve"> -&gt; RISK_ASSESSMENT_REQUIRED</w:t>
      </w:r>
      <w:r>
        <w:br/>
      </w:r>
      <w:r>
        <w:rPr>
          <w:rStyle w:val="VerbatimChar"/>
        </w:rPr>
        <w:t xml:space="preserve"> -&gt; DUE_DILIGENCE_REQUIRED</w:t>
      </w:r>
      <w:r>
        <w:br/>
      </w:r>
      <w:r>
        <w:rPr>
          <w:rStyle w:val="VerbatimChar"/>
        </w:rPr>
        <w:t xml:space="preserve"> -&gt; CONTRACT_CONTROLS_REQUIRED</w:t>
      </w:r>
      <w:r>
        <w:br/>
      </w:r>
      <w:r>
        <w:rPr>
          <w:rStyle w:val="VerbatimChar"/>
        </w:rPr>
        <w:t xml:space="preserve"> -&gt; APPROVAL_REQUIRED</w:t>
      </w:r>
      <w:r>
        <w:br/>
      </w:r>
      <w:r>
        <w:rPr>
          <w:rStyle w:val="VerbatimChar"/>
        </w:rPr>
        <w:t xml:space="preserve"> -&gt; ACTIVE</w:t>
      </w:r>
    </w:p>
    <w:p>
      <w:pPr>
        <w:pStyle w:val="FirstParagraph"/>
      </w:pPr>
      <w:r>
        <w:t xml:space="preserve">Negative/control states:</w:t>
      </w:r>
    </w:p>
    <w:p>
      <w:pPr>
        <w:pStyle w:val="SourceCode"/>
      </w:pPr>
      <w:r>
        <w:rPr>
          <w:rStyle w:val="VerbatimChar"/>
        </w:rPr>
        <w:t xml:space="preserve">BLOCKED</w:t>
      </w:r>
      <w:r>
        <w:br/>
      </w:r>
      <w:r>
        <w:rPr>
          <w:rStyle w:val="VerbatimChar"/>
        </w:rPr>
        <w:t xml:space="preserve">CONDITIONAL</w:t>
      </w:r>
      <w:r>
        <w:br/>
      </w:r>
      <w:r>
        <w:rPr>
          <w:rStyle w:val="VerbatimChar"/>
        </w:rPr>
        <w:t xml:space="preserve">REJECTED</w:t>
      </w:r>
      <w:r>
        <w:br/>
      </w:r>
      <w:r>
        <w:rPr>
          <w:rStyle w:val="VerbatimChar"/>
        </w:rPr>
        <w:t xml:space="preserve">SUSPENDED</w:t>
      </w:r>
      <w:r>
        <w:br/>
      </w:r>
      <w:r>
        <w:rPr>
          <w:rStyle w:val="VerbatimChar"/>
        </w:rPr>
        <w:t xml:space="preserve">EXIT_PENDING</w:t>
      </w:r>
      <w:r>
        <w:br/>
      </w:r>
      <w:r>
        <w:rPr>
          <w:rStyle w:val="VerbatimChar"/>
        </w:rPr>
        <w:t xml:space="preserve">TERMINATED</w:t>
      </w:r>
    </w:p>
    <w:p>
      <w:pPr>
        <w:pStyle w:val="FirstParagraph"/>
      </w:pPr>
      <w:r>
        <w:t xml:space="preserve">ACTIVE is impossible when any applicable mandatory control is UNKNOWN, missing, expired, contradictory, unapproved or otherwise unsatisfied.</w:t>
      </w:r>
    </w:p>
    <w:p>
      <w:pPr>
        <w:pStyle w:val="Heading2"/>
      </w:pPr>
      <w:bookmarkStart w:id="13" w:name="_eb1df36919e2f3da58f91eb7f214dc6ce756103"/>
      <w:r>
        <w:t xml:space="preserve">4. Classification rule</w:t>
      </w:r>
    </w:p>
    <w:p>
      <w:pPr>
        <w:pStyle w:val="FirstParagraph"/>
      </w:pPr>
      <w:r>
        <w:t xml:space="preserve">The Platform shall implement classification as a</w:t>
      </w:r>
      <w:r>
        <w:t xml:space="preserve"> </w:t>
      </w:r>
      <w:r>
        <w:rPr>
          <w:b/>
          <w:bCs/>
        </w:rPr>
        <w:t xml:space="preserve">governed domain/application service</w:t>
      </w:r>
      <w:r>
        <w:t xml:space="preserve">, not as a seventh</w:t>
      </w:r>
      <w:r>
        <w:t xml:space="preserve"> </w:t>
      </w:r>
      <w:r>
        <w:rPr>
          <w:rStyle w:val="VerbatimChar"/>
        </w:rPr>
        <w:t xml:space="preserve">DecisionEngine</w:t>
      </w:r>
      <w:r>
        <w:t xml:space="preserve">.</w:t>
      </w:r>
    </w:p>
    <w:p>
      <w:pPr>
        <w:pStyle w:val="BodyText"/>
      </w:pPr>
      <w:r>
        <w:t xml:space="preserve">The service must record:</w:t>
      </w:r>
    </w:p>
    <w:p>
      <w:pPr>
        <w:pStyle w:val="SourceCode"/>
      </w:pPr>
      <w:r>
        <w:rPr>
          <w:rStyle w:val="VerbatimChar"/>
        </w:rPr>
        <w:t xml:space="preserve">provider_relationship_type</w:t>
      </w:r>
      <w:r>
        <w:br/>
      </w:r>
      <w:r>
        <w:rPr>
          <w:rStyle w:val="VerbatimChar"/>
        </w:rPr>
        <w:t xml:space="preserve">service_nature</w:t>
      </w:r>
      <w:r>
        <w:br/>
      </w:r>
      <w:r>
        <w:rPr>
          <w:rStyle w:val="VerbatimChar"/>
        </w:rPr>
        <w:t xml:space="preserve">outsourcing_applicability</w:t>
      </w:r>
      <w:r>
        <w:br/>
      </w:r>
      <w:r>
        <w:rPr>
          <w:rStyle w:val="VerbatimChar"/>
        </w:rPr>
        <w:t xml:space="preserve">materiality_or_criticality</w:t>
      </w:r>
      <w:r>
        <w:br/>
      </w:r>
      <w:r>
        <w:rPr>
          <w:rStyle w:val="VerbatimChar"/>
        </w:rPr>
        <w:t xml:space="preserve">customer_sector</w:t>
      </w:r>
      <w:r>
        <w:br/>
      </w:r>
      <w:r>
        <w:rPr>
          <w:rStyle w:val="VerbatimChar"/>
        </w:rPr>
        <w:t xml:space="preserve">applicable_authority</w:t>
      </w:r>
      <w:r>
        <w:br/>
      </w:r>
      <w:r>
        <w:rPr>
          <w:rStyle w:val="VerbatimChar"/>
        </w:rPr>
        <w:t xml:space="preserve">data_processing</w:t>
      </w:r>
      <w:r>
        <w:br/>
      </w:r>
      <w:r>
        <w:rPr>
          <w:rStyle w:val="VerbatimChar"/>
        </w:rPr>
        <w:t xml:space="preserve">data_location</w:t>
      </w:r>
      <w:r>
        <w:br/>
      </w:r>
      <w:r>
        <w:rPr>
          <w:rStyle w:val="VerbatimChar"/>
        </w:rPr>
        <w:t xml:space="preserve">cross_border_transfer</w:t>
      </w:r>
      <w:r>
        <w:br/>
      </w:r>
      <w:r>
        <w:rPr>
          <w:rStyle w:val="VerbatimChar"/>
        </w:rPr>
        <w:t xml:space="preserve">subprocessor_presence</w:t>
      </w:r>
      <w:r>
        <w:br/>
      </w:r>
      <w:r>
        <w:rPr>
          <w:rStyle w:val="VerbatimChar"/>
        </w:rPr>
        <w:t xml:space="preserve">regulatory_access</w:t>
      </w:r>
      <w:r>
        <w:br/>
      </w:r>
      <w:r>
        <w:rPr>
          <w:rStyle w:val="VerbatimChar"/>
        </w:rPr>
        <w:t xml:space="preserve">legal_review_status</w:t>
      </w:r>
      <w:r>
        <w:br/>
      </w:r>
      <w:r>
        <w:rPr>
          <w:rStyle w:val="VerbatimChar"/>
        </w:rPr>
        <w:t xml:space="preserve">compliance_approval_status</w:t>
      </w:r>
    </w:p>
    <w:p>
      <w:pPr>
        <w:pStyle w:val="FirstParagraph"/>
      </w:pPr>
      <w:r>
        <w:t xml:space="preserve">Marketing labels such as SaaS, API, RegTech or managed service never override the determination.</w:t>
      </w:r>
    </w:p>
    <w:p>
      <w:pPr>
        <w:pStyle w:val="Heading2"/>
      </w:pPr>
      <w:bookmarkStart w:id="14" w:name="_705a433111b5475544d6035be5b3d8a418cd5a1"/>
      <w:r>
        <w:t xml:space="preserve">5. Phase gates — Definition of Done</w:t>
      </w:r>
    </w:p>
    <w:p>
      <w:pPr>
        <w:pStyle w:val="Heading3"/>
      </w:pPr>
      <w:bookmarkStart w:id="15" w:name="_732c68bb021f7ed9d035a5c4c37d9556d0b65f6"/>
      <w:r>
        <w:t xml:space="preserve">P0 — Contract and architecture freeze</w:t>
      </w:r>
    </w:p>
    <w:p>
      <w:pPr>
        <w:pStyle w:val="FirstParagraph"/>
      </w:pPr>
      <w:r>
        <w:rPr>
          <w:b/>
          <w:bCs/>
        </w:rPr>
        <w:t xml:space="preserve">DoD:</w:t>
      </w:r>
      <w:r>
        <w:t xml:space="preserve"> </w:t>
      </w:r>
      <w:r>
        <w:t xml:space="preserve">canonical vocabulary, lifecycle, evidence contract, RLS draft, handoff schema, TSP validation scenarios, invariants and Article mapping exist and are immutable for the implementation PR.</w:t>
      </w:r>
    </w:p>
    <w:p>
      <w:pPr>
        <w:pStyle w:val="BodyText"/>
      </w:pPr>
      <w:r>
        <w:t xml:space="preserve">Required tests: TSP-ARCH-001..008.</w:t>
      </w:r>
    </w:p>
    <w:p>
      <w:pPr>
        <w:pStyle w:val="Heading3"/>
      </w:pPr>
      <w:bookmarkStart w:id="16" w:name="_7f13ee7f1d7225785be9bfaac1cf622c302bd83"/>
      <w:r>
        <w:t xml:space="preserve">P1 — Persistence and RLS</w:t>
      </w:r>
    </w:p>
    <w:p>
      <w:pPr>
        <w:pStyle w:val="FirstParagraph"/>
      </w:pPr>
      <w:r>
        <w:rPr>
          <w:b/>
          <w:bCs/>
        </w:rPr>
        <w:t xml:space="preserve">DoD:</w:t>
      </w:r>
      <w:r>
        <w:t xml:space="preserve"> </w:t>
      </w:r>
      <w:r>
        <w:t xml:space="preserve">every canonical table contains</w:t>
      </w:r>
      <w:r>
        <w:t xml:space="preserve"> </w:t>
      </w:r>
      <w:r>
        <w:rPr>
          <w:rStyle w:val="VerbatimChar"/>
        </w:rPr>
        <w:t xml:space="preserve">tenant_id UUID NOT NULL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evidence_id UUID NOT NULL</w:t>
      </w:r>
      <w:r>
        <w:t xml:space="preserve">; foreign key to tenant exists; ENABLE+FORCE RLS exists; both canonical policies exist; migration engine proves coverage.</w:t>
      </w:r>
    </w:p>
    <w:p>
      <w:pPr>
        <w:pStyle w:val="BodyText"/>
      </w:pPr>
      <w:r>
        <w:t xml:space="preserve">Required tests: TSP-RLS-001..036.</w:t>
      </w:r>
    </w:p>
    <w:p>
      <w:pPr>
        <w:pStyle w:val="Heading3"/>
      </w:pPr>
      <w:bookmarkStart w:id="17" w:name="_5b5c69ebb1abb6004bbe626d6974f6f7b5c9776"/>
      <w:r>
        <w:t xml:space="preserve">P2 — Domain model</w:t>
      </w:r>
    </w:p>
    <w:p>
      <w:pPr>
        <w:pStyle w:val="FirstParagraph"/>
      </w:pPr>
      <w:r>
        <w:rPr>
          <w:b/>
          <w:bCs/>
        </w:rPr>
        <w:t xml:space="preserve">DoD:</w:t>
      </w:r>
      <w:r>
        <w:t xml:space="preserve"> </w:t>
      </w:r>
      <w:r>
        <w:t xml:space="preserve">all 18 entities exist in one bounded domain; domain state transitions are deterministic; no duplicate SSOT; historical assessment/control records are versioned/append-only where required.</w:t>
      </w:r>
    </w:p>
    <w:p>
      <w:pPr>
        <w:pStyle w:val="BodyText"/>
      </w:pPr>
      <w:r>
        <w:t xml:space="preserve">Required tests: TSP-DOM-001..024.</w:t>
      </w:r>
    </w:p>
    <w:p>
      <w:pPr>
        <w:pStyle w:val="Heading3"/>
      </w:pPr>
      <w:bookmarkStart w:id="18" w:name="_30c4fbf3d2bef6e3e45619ea1b5c35898737201"/>
      <w:r>
        <w:t xml:space="preserve">P3 — Control services</w:t>
      </w:r>
    </w:p>
    <w:p>
      <w:pPr>
        <w:pStyle w:val="FirstParagraph"/>
      </w:pPr>
      <w:r>
        <w:rPr>
          <w:b/>
          <w:bCs/>
        </w:rPr>
        <w:t xml:space="preserve">DoD:</w:t>
      </w:r>
      <w:r>
        <w:t xml:space="preserve"> </w:t>
      </w:r>
      <w:r>
        <w:t xml:space="preserve">classification, criticality, due diligence, risk, COI, contract, SLA, subprocessor, data-processing, continuity, review and exit controls exist as governed application services with fail-closed transitions.</w:t>
      </w:r>
    </w:p>
    <w:p>
      <w:pPr>
        <w:pStyle w:val="BodyText"/>
      </w:pPr>
      <w:r>
        <w:t xml:space="preserve">Required tests: TSP-CTRL-001..032.</w:t>
      </w:r>
    </w:p>
    <w:p>
      <w:pPr>
        <w:pStyle w:val="Heading3"/>
      </w:pPr>
      <w:bookmarkStart w:id="19" w:name="_03619c94ff84194916a144b20030d9ab83c495d"/>
      <w:r>
        <w:t xml:space="preserve">P4 — API, authorization and SoD</w:t>
      </w:r>
    </w:p>
    <w:p>
      <w:pPr>
        <w:pStyle w:val="FirstParagraph"/>
      </w:pPr>
      <w:r>
        <w:rPr>
          <w:b/>
          <w:bCs/>
        </w:rPr>
        <w:t xml:space="preserve">DoD:</w:t>
      </w:r>
      <w:r>
        <w:t xml:space="preserve"> </w:t>
      </w:r>
      <w:r>
        <w:t xml:space="preserve">API routes reuse canonical auth, tenant context and SoD; all mutation routes audit; regulatory access is read-only and scoped; no API can silently downgrade BLOCKED/UNKNOWN.</w:t>
      </w:r>
    </w:p>
    <w:p>
      <w:pPr>
        <w:pStyle w:val="BodyText"/>
      </w:pPr>
      <w:r>
        <w:t xml:space="preserve">Required tests: TSP-API-001..032.</w:t>
      </w:r>
    </w:p>
    <w:p>
      <w:pPr>
        <w:pStyle w:val="Heading3"/>
      </w:pPr>
      <w:bookmarkStart w:id="20" w:name="_1b2a9a0bf4739363b599c5a1c1f8626267f204a"/>
      <w:r>
        <w:t xml:space="preserve">P5 — Evidence and regulatory access</w:t>
      </w:r>
    </w:p>
    <w:p>
      <w:pPr>
        <w:pStyle w:val="FirstParagraph"/>
      </w:pPr>
      <w:r>
        <w:rPr>
          <w:b/>
          <w:bCs/>
        </w:rPr>
        <w:t xml:space="preserve">DoD:</w:t>
      </w:r>
      <w:r>
        <w:t xml:space="preserve"> </w:t>
      </w:r>
      <w:r>
        <w:t xml:space="preserve">every mandatory TSP control resolves to canonical evidence; access is attributable; evidence integrity is preserved; Article 33/34 access can be demonstrated.</w:t>
      </w:r>
    </w:p>
    <w:p>
      <w:pPr>
        <w:pStyle w:val="BodyText"/>
      </w:pPr>
      <w:r>
        <w:t xml:space="preserve">Required tests: TSP-EVD-001..024.</w:t>
      </w:r>
    </w:p>
    <w:p>
      <w:pPr>
        <w:pStyle w:val="Heading3"/>
      </w:pPr>
      <w:bookmarkStart w:id="21" w:name="_7df094dc970d6db74e31af1c9c66f23bd4e9d33"/>
      <w:r>
        <w:t xml:space="preserve">P6 — TSP validation</w:t>
      </w:r>
    </w:p>
    <w:p>
      <w:pPr>
        <w:pStyle w:val="FirstParagraph"/>
      </w:pPr>
      <w:r>
        <w:rPr>
          <w:b/>
          <w:bCs/>
        </w:rPr>
        <w:t xml:space="preserve">DoD:</w:t>
      </w:r>
      <w:r>
        <w:t xml:space="preserve"> </w:t>
      </w:r>
      <w:r>
        <w:t xml:space="preserve">all eight contractual TSP scenarios run against the executable contract path and produce expected state/evidence/audit results. These scenarios are not claimed as existing evidence until executed.</w:t>
      </w:r>
    </w:p>
    <w:p>
      <w:pPr>
        <w:pStyle w:val="BodyText"/>
      </w:pPr>
      <w:r>
        <w:t xml:space="preserve">Required tests: TSP-VAL-001..008.</w:t>
      </w:r>
    </w:p>
    <w:p>
      <w:pPr>
        <w:pStyle w:val="Heading3"/>
      </w:pPr>
      <w:bookmarkStart w:id="22" w:name="_31e13153a723b23148d96dcc607eb47589abfdd"/>
      <w:r>
        <w:t xml:space="preserve">P7 — Release assurance</w:t>
      </w:r>
    </w:p>
    <w:p>
      <w:pPr>
        <w:pStyle w:val="FirstParagraph"/>
      </w:pPr>
      <w:r>
        <w:rPr>
          <w:b/>
          <w:bCs/>
        </w:rPr>
        <w:t xml:space="preserve">DoD:</w:t>
      </w:r>
      <w:r>
        <w:t xml:space="preserve"> </w:t>
      </w:r>
      <w:r>
        <w:t xml:space="preserve">exact implementation SHA recorded; full regression passes at the exact head; migration/RLS contract passes; security checks pass; target-specific gaps remain explicitly separated.</w:t>
      </w:r>
    </w:p>
    <w:p>
      <w:pPr>
        <w:pStyle w:val="BodyText"/>
      </w:pPr>
      <w:r>
        <w:t xml:space="preserve">Required tests: TSP-REL-001..016.</w:t>
      </w:r>
    </w:p>
    <w:p>
      <w:pPr>
        <w:pStyle w:val="Heading2"/>
      </w:pPr>
      <w:bookmarkStart w:id="23" w:name="_444a2717f5f72705ac43567862db9a09a29d7d6"/>
      <w:r>
        <w:t xml:space="preserve">6. Evidence Binding Table</w:t>
      </w:r>
    </w:p>
    <w:p>
      <w:pPr>
        <w:pStyle w:val="FirstParagraph"/>
      </w:pPr>
      <w:r>
        <w:t xml:space="preserve">Every control must have a canonical evidence binding before implementation can be marked complete.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Evidence binding</w:t>
            </w:r>
          </w:p>
        </w:tc>
        <w:tc>
          <w:tcPr/>
          <w:p>
            <w:pPr>
              <w:pStyle w:val="Compact"/>
            </w:pPr>
            <w:r>
              <w:t xml:space="preserve">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TSP-15</w:t>
            </w:r>
          </w:p>
        </w:tc>
        <w:tc>
          <w:tcPr/>
          <w:p>
            <w:pPr>
              <w:pStyle w:val="Compact"/>
            </w:pPr>
            <w:r>
              <w:t xml:space="preserve">Approved policy + version</w:t>
            </w:r>
          </w:p>
        </w:tc>
        <w:tc>
          <w:tcPr/>
          <w:p>
            <w:pPr>
              <w:pStyle w:val="Compact"/>
            </w:pPr>
            <w:r>
              <w:t xml:space="preserve">EVID-15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16(a)</w:t>
            </w:r>
          </w:p>
        </w:tc>
        <w:tc>
          <w:tcPr/>
          <w:p>
            <w:pPr>
              <w:pStyle w:val="Compact"/>
            </w:pPr>
            <w:r>
              <w:t xml:space="preserve">TSP-16A</w:t>
            </w:r>
          </w:p>
        </w:tc>
        <w:tc>
          <w:tcPr/>
          <w:p>
            <w:pPr>
              <w:pStyle w:val="Compact"/>
            </w:pPr>
            <w:r>
              <w:t xml:space="preserve">Project/service assessment</w:t>
            </w:r>
          </w:p>
        </w:tc>
        <w:tc>
          <w:tcPr/>
          <w:p>
            <w:pPr>
              <w:pStyle w:val="Compact"/>
            </w:pPr>
            <w:r>
              <w:t xml:space="preserve">EVID-16A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16(b)</w:t>
            </w:r>
          </w:p>
        </w:tc>
        <w:tc>
          <w:tcPr/>
          <w:p>
            <w:pPr>
              <w:pStyle w:val="Compact"/>
            </w:pPr>
            <w:r>
              <w:t xml:space="preserve">TSP-16B</w:t>
            </w:r>
          </w:p>
        </w:tc>
        <w:tc>
          <w:tcPr/>
          <w:p>
            <w:pPr>
              <w:pStyle w:val="Compact"/>
            </w:pPr>
            <w:r>
              <w:t xml:space="preserve">Risk impact assessment</w:t>
            </w:r>
          </w:p>
        </w:tc>
        <w:tc>
          <w:tcPr/>
          <w:p>
            <w:pPr>
              <w:pStyle w:val="Compact"/>
            </w:pPr>
            <w:r>
              <w:t xml:space="preserve">EVID-16B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16(c)</w:t>
            </w:r>
          </w:p>
        </w:tc>
        <w:tc>
          <w:tcPr/>
          <w:p>
            <w:pPr>
              <w:pStyle w:val="Compact"/>
            </w:pPr>
            <w:r>
              <w:t xml:space="preserve">TSP-16C</w:t>
            </w:r>
          </w:p>
        </w:tc>
        <w:tc>
          <w:tcPr/>
          <w:p>
            <w:pPr>
              <w:pStyle w:val="Compact"/>
            </w:pPr>
            <w:r>
              <w:t xml:space="preserve">Selection record</w:t>
            </w:r>
          </w:p>
        </w:tc>
        <w:tc>
          <w:tcPr/>
          <w:p>
            <w:pPr>
              <w:pStyle w:val="Compact"/>
            </w:pPr>
            <w:r>
              <w:t xml:space="preserve">EVID-16C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16(d)</w:t>
            </w:r>
          </w:p>
        </w:tc>
        <w:tc>
          <w:tcPr/>
          <w:p>
            <w:pPr>
              <w:pStyle w:val="Compact"/>
            </w:pPr>
            <w:r>
              <w:t xml:space="preserve">TSP-16D</w:t>
            </w:r>
          </w:p>
        </w:tc>
        <w:tc>
          <w:tcPr/>
          <w:p>
            <w:pPr>
              <w:pStyle w:val="Compact"/>
            </w:pPr>
            <w:r>
              <w:t xml:space="preserve">Due diligence pack</w:t>
            </w:r>
          </w:p>
        </w:tc>
        <w:tc>
          <w:tcPr/>
          <w:p>
            <w:pPr>
              <w:pStyle w:val="Compact"/>
            </w:pPr>
            <w:r>
              <w:t xml:space="preserve">EVID-16D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16(e)</w:t>
            </w:r>
          </w:p>
        </w:tc>
        <w:tc>
          <w:tcPr/>
          <w:p>
            <w:pPr>
              <w:pStyle w:val="Compact"/>
            </w:pPr>
            <w:r>
              <w:t xml:space="preserve">TSP-16E</w:t>
            </w:r>
          </w:p>
        </w:tc>
        <w:tc>
          <w:tcPr/>
          <w:p>
            <w:pPr>
              <w:pStyle w:val="Compact"/>
            </w:pPr>
            <w:r>
              <w:t xml:space="preserve">Concentration assessment</w:t>
            </w:r>
          </w:p>
        </w:tc>
        <w:tc>
          <w:tcPr/>
          <w:p>
            <w:pPr>
              <w:pStyle w:val="Compact"/>
            </w:pPr>
            <w:r>
              <w:t xml:space="preserve">EVID-16E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16(f)</w:t>
            </w:r>
          </w:p>
        </w:tc>
        <w:tc>
          <w:tcPr/>
          <w:p>
            <w:pPr>
              <w:pStyle w:val="Compact"/>
            </w:pPr>
            <w:r>
              <w:t xml:space="preserve">TSP-16F</w:t>
            </w:r>
          </w:p>
        </w:tc>
        <w:tc>
          <w:tcPr/>
          <w:p>
            <w:pPr>
              <w:pStyle w:val="Compact"/>
            </w:pPr>
            <w:r>
              <w:t xml:space="preserve">Approval record</w:t>
            </w:r>
          </w:p>
        </w:tc>
        <w:tc>
          <w:tcPr/>
          <w:p>
            <w:pPr>
              <w:pStyle w:val="Compact"/>
            </w:pPr>
            <w:r>
              <w:t xml:space="preserve">EVID-16F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16(g)</w:t>
            </w:r>
          </w:p>
        </w:tc>
        <w:tc>
          <w:tcPr/>
          <w:p>
            <w:pPr>
              <w:pStyle w:val="Compact"/>
            </w:pPr>
            <w:r>
              <w:t xml:space="preserve">TSP-16G</w:t>
            </w:r>
          </w:p>
        </w:tc>
        <w:tc>
          <w:tcPr/>
          <w:p>
            <w:pPr>
              <w:pStyle w:val="Compact"/>
            </w:pPr>
            <w:r>
              <w:t xml:space="preserve">Contract control set</w:t>
            </w:r>
          </w:p>
        </w:tc>
        <w:tc>
          <w:tcPr/>
          <w:p>
            <w:pPr>
              <w:pStyle w:val="Compact"/>
            </w:pPr>
            <w:r>
              <w:t xml:space="preserve">EVID-16G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16(h)</w:t>
            </w:r>
          </w:p>
        </w:tc>
        <w:tc>
          <w:tcPr/>
          <w:p>
            <w:pPr>
              <w:pStyle w:val="Compact"/>
            </w:pPr>
            <w:r>
              <w:t xml:space="preserve">TSP-16H</w:t>
            </w:r>
          </w:p>
        </w:tc>
        <w:tc>
          <w:tcPr/>
          <w:p>
            <w:pPr>
              <w:pStyle w:val="Compact"/>
            </w:pPr>
            <w:r>
              <w:t xml:space="preserve">Monitoring record</w:t>
            </w:r>
          </w:p>
        </w:tc>
        <w:tc>
          <w:tcPr/>
          <w:p>
            <w:pPr>
              <w:pStyle w:val="Compact"/>
            </w:pPr>
            <w:r>
              <w:t xml:space="preserve">EVID-16H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16(i)</w:t>
            </w:r>
          </w:p>
        </w:tc>
        <w:tc>
          <w:tcPr/>
          <w:p>
            <w:pPr>
              <w:pStyle w:val="Compact"/>
            </w:pPr>
            <w:r>
              <w:t xml:space="preserve">TSP-16I</w:t>
            </w:r>
          </w:p>
        </w:tc>
        <w:tc>
          <w:tcPr/>
          <w:p>
            <w:pPr>
              <w:pStyle w:val="Compact"/>
            </w:pPr>
            <w:r>
              <w:t xml:space="preserve">Renewal/review decision</w:t>
            </w:r>
          </w:p>
        </w:tc>
        <w:tc>
          <w:tcPr/>
          <w:p>
            <w:pPr>
              <w:pStyle w:val="Compact"/>
            </w:pPr>
            <w:r>
              <w:t xml:space="preserve">EVID-16I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16(j)</w:t>
            </w:r>
          </w:p>
        </w:tc>
        <w:tc>
          <w:tcPr/>
          <w:p>
            <w:pPr>
              <w:pStyle w:val="Compact"/>
            </w:pPr>
            <w:r>
              <w:t xml:space="preserve">TSP-16J</w:t>
            </w:r>
          </w:p>
        </w:tc>
        <w:tc>
          <w:tcPr/>
          <w:p>
            <w:pPr>
              <w:pStyle w:val="Compact"/>
            </w:pPr>
            <w:r>
              <w:t xml:space="preserve">Continuity/alternative plan</w:t>
            </w:r>
          </w:p>
        </w:tc>
        <w:tc>
          <w:tcPr/>
          <w:p>
            <w:pPr>
              <w:pStyle w:val="Compact"/>
            </w:pPr>
            <w:r>
              <w:t xml:space="preserve">EVID-16J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TSP-17</w:t>
            </w:r>
          </w:p>
        </w:tc>
        <w:tc>
          <w:tcPr/>
          <w:p>
            <w:pPr>
              <w:pStyle w:val="Compact"/>
            </w:pPr>
            <w:r>
              <w:t xml:space="preserve">COI declaration/resolution</w:t>
            </w:r>
          </w:p>
        </w:tc>
        <w:tc>
          <w:tcPr/>
          <w:p>
            <w:pPr>
              <w:pStyle w:val="Compact"/>
            </w:pPr>
            <w:r>
              <w:t xml:space="preserve">EVID-17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18(a)</w:t>
            </w:r>
          </w:p>
        </w:tc>
        <w:tc>
          <w:tcPr/>
          <w:p>
            <w:pPr>
              <w:pStyle w:val="Compact"/>
            </w:pPr>
            <w:r>
              <w:t xml:space="preserve">TSP-18A</w:t>
            </w:r>
          </w:p>
        </w:tc>
        <w:tc>
          <w:tcPr/>
          <w:p>
            <w:pPr>
              <w:pStyle w:val="Compact"/>
            </w:pPr>
            <w:r>
              <w:t xml:space="preserve">Contract scope</w:t>
            </w:r>
          </w:p>
        </w:tc>
        <w:tc>
          <w:tcPr/>
          <w:p>
            <w:pPr>
              <w:pStyle w:val="Compact"/>
            </w:pPr>
            <w:r>
              <w:t xml:space="preserve">EVID-18A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18(b)</w:t>
            </w:r>
          </w:p>
        </w:tc>
        <w:tc>
          <w:tcPr/>
          <w:p>
            <w:pPr>
              <w:pStyle w:val="Compact"/>
            </w:pPr>
            <w:r>
              <w:t xml:space="preserve">TSP-18B</w:t>
            </w:r>
          </w:p>
        </w:tc>
        <w:tc>
          <w:tcPr/>
          <w:p>
            <w:pPr>
              <w:pStyle w:val="Compact"/>
            </w:pPr>
            <w:r>
              <w:t xml:space="preserve">Legal entity verification</w:t>
            </w:r>
          </w:p>
        </w:tc>
        <w:tc>
          <w:tcPr/>
          <w:p>
            <w:pPr>
              <w:pStyle w:val="Compact"/>
            </w:pPr>
            <w:r>
              <w:t xml:space="preserve">EVID-18B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18(c)</w:t>
            </w:r>
          </w:p>
        </w:tc>
        <w:tc>
          <w:tcPr/>
          <w:p>
            <w:pPr>
              <w:pStyle w:val="Compact"/>
            </w:pPr>
            <w:r>
              <w:t xml:space="preserve">TSP-18C</w:t>
            </w:r>
          </w:p>
        </w:tc>
        <w:tc>
          <w:tcPr/>
          <w:p>
            <w:pPr>
              <w:pStyle w:val="Compact"/>
            </w:pPr>
            <w:r>
              <w:t xml:space="preserve">SLA/KPI</w:t>
            </w:r>
          </w:p>
        </w:tc>
        <w:tc>
          <w:tcPr/>
          <w:p>
            <w:pPr>
              <w:pStyle w:val="Compact"/>
            </w:pPr>
            <w:r>
              <w:t xml:space="preserve">EVID-18C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18(d)</w:t>
            </w:r>
          </w:p>
        </w:tc>
        <w:tc>
          <w:tcPr/>
          <w:p>
            <w:pPr>
              <w:pStyle w:val="Compact"/>
            </w:pPr>
            <w:r>
              <w:t xml:space="preserve">TSP-18D</w:t>
            </w:r>
          </w:p>
        </w:tc>
        <w:tc>
          <w:tcPr/>
          <w:p>
            <w:pPr>
              <w:pStyle w:val="Compact"/>
            </w:pPr>
            <w:r>
              <w:t xml:space="preserve">Audit/review clause and evidence</w:t>
            </w:r>
          </w:p>
        </w:tc>
        <w:tc>
          <w:tcPr/>
          <w:p>
            <w:pPr>
              <w:pStyle w:val="Compact"/>
            </w:pPr>
            <w:r>
              <w:t xml:space="preserve">EVID-18D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18(e)</w:t>
            </w:r>
          </w:p>
        </w:tc>
        <w:tc>
          <w:tcPr/>
          <w:p>
            <w:pPr>
              <w:pStyle w:val="Compact"/>
            </w:pPr>
            <w:r>
              <w:t xml:space="preserve">TSP-18E</w:t>
            </w:r>
          </w:p>
        </w:tc>
        <w:tc>
          <w:tcPr/>
          <w:p>
            <w:pPr>
              <w:pStyle w:val="Compact"/>
            </w:pPr>
            <w:r>
              <w:t xml:space="preserve">BCP/DR</w:t>
            </w:r>
          </w:p>
        </w:tc>
        <w:tc>
          <w:tcPr/>
          <w:p>
            <w:pPr>
              <w:pStyle w:val="Compact"/>
            </w:pPr>
            <w:r>
              <w:t xml:space="preserve">EVID-18E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18(f)</w:t>
            </w:r>
          </w:p>
        </w:tc>
        <w:tc>
          <w:tcPr/>
          <w:p>
            <w:pPr>
              <w:pStyle w:val="Compact"/>
            </w:pPr>
            <w:r>
              <w:t xml:space="preserve">TSP-18F</w:t>
            </w:r>
          </w:p>
        </w:tc>
        <w:tc>
          <w:tcPr/>
          <w:p>
            <w:pPr>
              <w:pStyle w:val="Compact"/>
            </w:pPr>
            <w:r>
              <w:t xml:space="preserve">Default/termination controls</w:t>
            </w:r>
          </w:p>
        </w:tc>
        <w:tc>
          <w:tcPr/>
          <w:p>
            <w:pPr>
              <w:pStyle w:val="Compact"/>
            </w:pPr>
            <w:r>
              <w:t xml:space="preserve">EVID-18F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18(g)</w:t>
            </w:r>
          </w:p>
        </w:tc>
        <w:tc>
          <w:tcPr/>
          <w:p>
            <w:pPr>
              <w:pStyle w:val="Compact"/>
            </w:pPr>
            <w:r>
              <w:t xml:space="preserve">TSP-18G</w:t>
            </w:r>
          </w:p>
        </w:tc>
        <w:tc>
          <w:tcPr/>
          <w:p>
            <w:pPr>
              <w:pStyle w:val="Compact"/>
            </w:pPr>
            <w:r>
              <w:t xml:space="preserve">Pricing schedule</w:t>
            </w:r>
          </w:p>
        </w:tc>
        <w:tc>
          <w:tcPr/>
          <w:p>
            <w:pPr>
              <w:pStyle w:val="Compact"/>
            </w:pPr>
            <w:r>
              <w:t xml:space="preserve">EVID-18G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18(h)</w:t>
            </w:r>
          </w:p>
        </w:tc>
        <w:tc>
          <w:tcPr/>
          <w:p>
            <w:pPr>
              <w:pStyle w:val="Compact"/>
            </w:pPr>
            <w:r>
              <w:t xml:space="preserve">TSP-18H</w:t>
            </w:r>
          </w:p>
        </w:tc>
        <w:tc>
          <w:tcPr/>
          <w:p>
            <w:pPr>
              <w:pStyle w:val="Compact"/>
            </w:pPr>
            <w:r>
              <w:t xml:space="preserve">Dispute path</w:t>
            </w:r>
          </w:p>
        </w:tc>
        <w:tc>
          <w:tcPr/>
          <w:p>
            <w:pPr>
              <w:pStyle w:val="Compact"/>
            </w:pPr>
            <w:r>
              <w:t xml:space="preserve">EVID-18H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18(i)</w:t>
            </w:r>
          </w:p>
        </w:tc>
        <w:tc>
          <w:tcPr/>
          <w:p>
            <w:pPr>
              <w:pStyle w:val="Compact"/>
            </w:pPr>
            <w:r>
              <w:t xml:space="preserve">TSP-18I</w:t>
            </w:r>
          </w:p>
        </w:tc>
        <w:tc>
          <w:tcPr/>
          <w:p>
            <w:pPr>
              <w:pStyle w:val="Compact"/>
            </w:pPr>
            <w:r>
              <w:t xml:space="preserve">Liability/indemnity review</w:t>
            </w:r>
          </w:p>
        </w:tc>
        <w:tc>
          <w:tcPr/>
          <w:p>
            <w:pPr>
              <w:pStyle w:val="Compact"/>
            </w:pPr>
            <w:r>
              <w:t xml:space="preserve">EVID-18I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18(j)</w:t>
            </w:r>
          </w:p>
        </w:tc>
        <w:tc>
          <w:tcPr/>
          <w:p>
            <w:pPr>
              <w:pStyle w:val="Compact"/>
            </w:pPr>
            <w:r>
              <w:t xml:space="preserve">TSP-18J</w:t>
            </w:r>
          </w:p>
        </w:tc>
        <w:tc>
          <w:tcPr/>
          <w:p>
            <w:pPr>
              <w:pStyle w:val="Compact"/>
            </w:pPr>
            <w:r>
              <w:t xml:space="preserve">Confidentiality/security schedule</w:t>
            </w:r>
          </w:p>
        </w:tc>
        <w:tc>
          <w:tcPr/>
          <w:p>
            <w:pPr>
              <w:pStyle w:val="Compact"/>
            </w:pPr>
            <w:r>
              <w:t xml:space="preserve">EVID-18J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18(k)</w:t>
            </w:r>
          </w:p>
        </w:tc>
        <w:tc>
          <w:tcPr/>
          <w:p>
            <w:pPr>
              <w:pStyle w:val="Compact"/>
            </w:pPr>
            <w:r>
              <w:t xml:space="preserve">TSP-18K</w:t>
            </w:r>
          </w:p>
        </w:tc>
        <w:tc>
          <w:tcPr/>
          <w:p>
            <w:pPr>
              <w:pStyle w:val="Compact"/>
            </w:pPr>
            <w:r>
              <w:t xml:space="preserve">Regulatory access clause/proof</w:t>
            </w:r>
          </w:p>
        </w:tc>
        <w:tc>
          <w:tcPr/>
          <w:p>
            <w:pPr>
              <w:pStyle w:val="Compact"/>
            </w:pPr>
            <w:r>
              <w:t xml:space="preserve">EVID-18K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18(l)</w:t>
            </w:r>
          </w:p>
        </w:tc>
        <w:tc>
          <w:tcPr/>
          <w:p>
            <w:pPr>
              <w:pStyle w:val="Compact"/>
            </w:pPr>
            <w:r>
              <w:t xml:space="preserve">TSP-18L</w:t>
            </w:r>
          </w:p>
        </w:tc>
        <w:tc>
          <w:tcPr/>
          <w:p>
            <w:pPr>
              <w:pStyle w:val="Compact"/>
            </w:pPr>
            <w:r>
              <w:t xml:space="preserve">Compliance obligation mapping</w:t>
            </w:r>
          </w:p>
        </w:tc>
        <w:tc>
          <w:tcPr/>
          <w:p>
            <w:pPr>
              <w:pStyle w:val="Compact"/>
            </w:pPr>
            <w:r>
              <w:t xml:space="preserve">EVID-18L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18(m)</w:t>
            </w:r>
          </w:p>
        </w:tc>
        <w:tc>
          <w:tcPr/>
          <w:p>
            <w:pPr>
              <w:pStyle w:val="Compact"/>
            </w:pPr>
            <w:r>
              <w:t xml:space="preserve">TSP-18M</w:t>
            </w:r>
          </w:p>
        </w:tc>
        <w:tc>
          <w:tcPr/>
          <w:p>
            <w:pPr>
              <w:pStyle w:val="Compact"/>
            </w:pPr>
            <w:r>
              <w:t xml:space="preserve">Subprocessor approval</w:t>
            </w:r>
          </w:p>
        </w:tc>
        <w:tc>
          <w:tcPr/>
          <w:p>
            <w:pPr>
              <w:pStyle w:val="Compact"/>
            </w:pPr>
            <w:r>
              <w:t xml:space="preserve">EVID-18M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18(n)</w:t>
            </w:r>
          </w:p>
        </w:tc>
        <w:tc>
          <w:tcPr/>
          <w:p>
            <w:pPr>
              <w:pStyle w:val="Compact"/>
            </w:pPr>
            <w:r>
              <w:t xml:space="preserve">TSP-18N</w:t>
            </w:r>
          </w:p>
        </w:tc>
        <w:tc>
          <w:tcPr/>
          <w:p>
            <w:pPr>
              <w:pStyle w:val="Compact"/>
            </w:pPr>
            <w:r>
              <w:t xml:space="preserve">Escalation matrix/logs</w:t>
            </w:r>
          </w:p>
        </w:tc>
        <w:tc>
          <w:tcPr/>
          <w:p>
            <w:pPr>
              <w:pStyle w:val="Compact"/>
            </w:pPr>
            <w:r>
              <w:t xml:space="preserve">EVID-18N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18(س)</w:t>
            </w:r>
          </w:p>
        </w:tc>
        <w:tc>
          <w:tcPr/>
          <w:p>
            <w:pPr>
              <w:pStyle w:val="Compact"/>
            </w:pPr>
            <w:r>
              <w:t xml:space="preserve">TSP-18O</w:t>
            </w:r>
          </w:p>
        </w:tc>
        <w:tc>
          <w:tcPr/>
          <w:p>
            <w:pPr>
              <w:pStyle w:val="Compact"/>
            </w:pPr>
            <w:r>
              <w:t xml:space="preserve">Weakness/adverse development notification</w:t>
            </w:r>
          </w:p>
        </w:tc>
        <w:tc>
          <w:tcPr/>
          <w:p>
            <w:pPr>
              <w:pStyle w:val="Compact"/>
            </w:pPr>
            <w:r>
              <w:t xml:space="preserve">EVID-18O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18(ع)</w:t>
            </w:r>
          </w:p>
        </w:tc>
        <w:tc>
          <w:tcPr/>
          <w:p>
            <w:pPr>
              <w:pStyle w:val="Compact"/>
            </w:pPr>
            <w:r>
              <w:t xml:space="preserve">TSP-18P</w:t>
            </w:r>
          </w:p>
        </w:tc>
        <w:tc>
          <w:tcPr/>
          <w:p>
            <w:pPr>
              <w:pStyle w:val="Compact"/>
            </w:pPr>
            <w:r>
              <w:t xml:space="preserve">Foreign provider attestation</w:t>
            </w:r>
          </w:p>
        </w:tc>
        <w:tc>
          <w:tcPr/>
          <w:p>
            <w:pPr>
              <w:pStyle w:val="Compact"/>
            </w:pPr>
            <w:r>
              <w:t xml:space="preserve">EVID-18P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TSP-19</w:t>
            </w:r>
          </w:p>
        </w:tc>
        <w:tc>
          <w:tcPr/>
          <w:p>
            <w:pPr>
              <w:pStyle w:val="Compact"/>
            </w:pPr>
            <w:r>
              <w:t xml:space="preserve">Renewal/termination/subcontracting</w:t>
            </w:r>
          </w:p>
        </w:tc>
        <w:tc>
          <w:tcPr/>
          <w:p>
            <w:pPr>
              <w:pStyle w:val="Compact"/>
            </w:pPr>
            <w:r>
              <w:t xml:space="preserve">EVID-19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TSP-20</w:t>
            </w:r>
          </w:p>
        </w:tc>
        <w:tc>
          <w:tcPr/>
          <w:p>
            <w:pPr>
              <w:pStyle w:val="Compact"/>
            </w:pPr>
            <w:r>
              <w:t xml:space="preserve">Record access</w:t>
            </w:r>
          </w:p>
        </w:tc>
        <w:tc>
          <w:tcPr/>
          <w:p>
            <w:pPr>
              <w:pStyle w:val="Compact"/>
            </w:pPr>
            <w:r>
              <w:t xml:space="preserve">EVID-20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TSP-21</w:t>
            </w:r>
          </w:p>
        </w:tc>
        <w:tc>
          <w:tcPr/>
          <w:p>
            <w:pPr>
              <w:pStyle w:val="Compact"/>
            </w:pPr>
            <w:r>
              <w:t xml:space="preserve">Jurisdiction assessment</w:t>
            </w:r>
          </w:p>
        </w:tc>
        <w:tc>
          <w:tcPr/>
          <w:p>
            <w:pPr>
              <w:pStyle w:val="Compact"/>
            </w:pPr>
            <w:r>
              <w:t xml:space="preserve">EVID-21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TSP-22</w:t>
            </w:r>
          </w:p>
        </w:tc>
        <w:tc>
          <w:tcPr/>
          <w:p>
            <w:pPr>
              <w:pStyle w:val="Compact"/>
            </w:pPr>
            <w:r>
              <w:t xml:space="preserve">Complaint mechanism</w:t>
            </w:r>
          </w:p>
        </w:tc>
        <w:tc>
          <w:tcPr/>
          <w:p>
            <w:pPr>
              <w:pStyle w:val="Compact"/>
            </w:pPr>
            <w:r>
              <w:t xml:space="preserve">EVID-22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TSP-23</w:t>
            </w:r>
          </w:p>
        </w:tc>
        <w:tc>
          <w:tcPr/>
          <w:p>
            <w:pPr>
              <w:pStyle w:val="Compact"/>
            </w:pPr>
            <w:r>
              <w:t xml:space="preserve">Critical outsourcing NOC state</w:t>
            </w:r>
          </w:p>
        </w:tc>
        <w:tc>
          <w:tcPr/>
          <w:p>
            <w:pPr>
              <w:pStyle w:val="Compact"/>
            </w:pPr>
            <w:r>
              <w:t xml:space="preserve">EVID-23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TSP-24</w:t>
            </w:r>
          </w:p>
        </w:tc>
        <w:tc>
          <w:tcPr/>
          <w:p>
            <w:pPr>
              <w:pStyle w:val="Compact"/>
            </w:pPr>
            <w:r>
              <w:t xml:space="preserve">Confidentiality/legal mapping</w:t>
            </w:r>
          </w:p>
        </w:tc>
        <w:tc>
          <w:tcPr/>
          <w:p>
            <w:pPr>
              <w:pStyle w:val="Compact"/>
            </w:pPr>
            <w:r>
              <w:t xml:space="preserve">EVID-24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TSP-25</w:t>
            </w:r>
          </w:p>
        </w:tc>
        <w:tc>
          <w:tcPr/>
          <w:p>
            <w:pPr>
              <w:pStyle w:val="Compact"/>
            </w:pPr>
            <w:r>
              <w:t xml:space="preserve">Security safeguards</w:t>
            </w:r>
          </w:p>
        </w:tc>
        <w:tc>
          <w:tcPr/>
          <w:p>
            <w:pPr>
              <w:pStyle w:val="Compact"/>
            </w:pPr>
            <w:r>
              <w:t xml:space="preserve">EVID-25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TSP-26</w:t>
            </w:r>
          </w:p>
        </w:tc>
        <w:tc>
          <w:tcPr/>
          <w:p>
            <w:pPr>
              <w:pStyle w:val="Compact"/>
            </w:pPr>
            <w:r>
              <w:t xml:space="preserve">Return/destruction</w:t>
            </w:r>
          </w:p>
        </w:tc>
        <w:tc>
          <w:tcPr/>
          <w:p>
            <w:pPr>
              <w:pStyle w:val="Compact"/>
            </w:pPr>
            <w:r>
              <w:t xml:space="preserve">EVID-26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TSP-27</w:t>
            </w:r>
          </w:p>
        </w:tc>
        <w:tc>
          <w:tcPr/>
          <w:p>
            <w:pPr>
              <w:pStyle w:val="Compact"/>
            </w:pPr>
            <w:r>
              <w:t xml:space="preserve">Governance/RACI</w:t>
            </w:r>
          </w:p>
        </w:tc>
        <w:tc>
          <w:tcPr/>
          <w:p>
            <w:pPr>
              <w:pStyle w:val="Compact"/>
            </w:pPr>
            <w:r>
              <w:t xml:space="preserve">EVID-27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TSP-28</w:t>
            </w:r>
          </w:p>
        </w:tc>
        <w:tc>
          <w:tcPr/>
          <w:p>
            <w:pPr>
              <w:pStyle w:val="Compact"/>
            </w:pPr>
            <w:r>
              <w:t xml:space="preserve">Additional substitution cost</w:t>
            </w:r>
          </w:p>
        </w:tc>
        <w:tc>
          <w:tcPr/>
          <w:p>
            <w:pPr>
              <w:pStyle w:val="Compact"/>
            </w:pPr>
            <w:r>
              <w:t xml:space="preserve">EVID-28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TSP-29</w:t>
            </w:r>
          </w:p>
        </w:tc>
        <w:tc>
          <w:tcPr/>
          <w:p>
            <w:pPr>
              <w:pStyle w:val="Compact"/>
            </w:pPr>
            <w:r>
              <w:t xml:space="preserve">Risk assessment history</w:t>
            </w:r>
          </w:p>
        </w:tc>
        <w:tc>
          <w:tcPr/>
          <w:p>
            <w:pPr>
              <w:pStyle w:val="Compact"/>
            </w:pPr>
            <w:r>
              <w:t xml:space="preserve">EVID-29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TSP-30</w:t>
            </w:r>
          </w:p>
        </w:tc>
        <w:tc>
          <w:tcPr/>
          <w:p>
            <w:pPr>
              <w:pStyle w:val="Compact"/>
            </w:pPr>
            <w:r>
              <w:t xml:space="preserve">Provider capability/evaluation</w:t>
            </w:r>
          </w:p>
        </w:tc>
        <w:tc>
          <w:tcPr/>
          <w:p>
            <w:pPr>
              <w:pStyle w:val="Compact"/>
            </w:pPr>
            <w:r>
              <w:t xml:space="preserve">EVID-30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TSP-31</w:t>
            </w:r>
          </w:p>
        </w:tc>
        <w:tc>
          <w:tcPr/>
          <w:p>
            <w:pPr>
              <w:pStyle w:val="Compact"/>
            </w:pPr>
            <w:r>
              <w:t xml:space="preserve">Continuity plan</w:t>
            </w:r>
          </w:p>
        </w:tc>
        <w:tc>
          <w:tcPr/>
          <w:p>
            <w:pPr>
              <w:pStyle w:val="Compact"/>
            </w:pPr>
            <w:r>
              <w:t xml:space="preserve">EVID-31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TSP-32</w:t>
            </w:r>
          </w:p>
        </w:tc>
        <w:tc>
          <w:tcPr/>
          <w:p>
            <w:pPr>
              <w:pStyle w:val="Compact"/>
            </w:pPr>
            <w:r>
              <w:t xml:space="preserve">Alternative/internal execution</w:t>
            </w:r>
          </w:p>
        </w:tc>
        <w:tc>
          <w:tcPr/>
          <w:p>
            <w:pPr>
              <w:pStyle w:val="Compact"/>
            </w:pPr>
            <w:r>
              <w:t xml:space="preserve">EVID-32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TSP-33</w:t>
            </w:r>
          </w:p>
        </w:tc>
        <w:tc>
          <w:tcPr/>
          <w:p>
            <w:pPr>
              <w:pStyle w:val="Compact"/>
            </w:pPr>
            <w:r>
              <w:t xml:space="preserve">Timely SAMA access</w:t>
            </w:r>
          </w:p>
        </w:tc>
        <w:tc>
          <w:tcPr/>
          <w:p>
            <w:pPr>
              <w:pStyle w:val="Compact"/>
            </w:pPr>
            <w:r>
              <w:t xml:space="preserve">EVID-33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TSP-34</w:t>
            </w:r>
          </w:p>
        </w:tc>
        <w:tc>
          <w:tcPr/>
          <w:p>
            <w:pPr>
              <w:pStyle w:val="Compact"/>
            </w:pPr>
            <w:r>
              <w:t xml:space="preserve">Auditor/provider-premises access</w:t>
            </w:r>
          </w:p>
        </w:tc>
        <w:tc>
          <w:tcPr/>
          <w:p>
            <w:pPr>
              <w:pStyle w:val="Compact"/>
            </w:pPr>
            <w:r>
              <w:t xml:space="preserve">EVID-34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TSP-35</w:t>
            </w:r>
          </w:p>
        </w:tc>
        <w:tc>
          <w:tcPr/>
          <w:p>
            <w:pPr>
              <w:pStyle w:val="Compact"/>
            </w:pPr>
            <w:r>
              <w:t xml:space="preserve">Communication/SLA monitoring</w:t>
            </w:r>
          </w:p>
        </w:tc>
        <w:tc>
          <w:tcPr/>
          <w:p>
            <w:pPr>
              <w:pStyle w:val="Compact"/>
            </w:pPr>
            <w:r>
              <w:t xml:space="preserve">EVID-35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TSP-36</w:t>
            </w:r>
          </w:p>
        </w:tc>
        <w:tc>
          <w:tcPr/>
          <w:p>
            <w:pPr>
              <w:pStyle w:val="Compact"/>
            </w:pPr>
            <w:r>
              <w:t xml:space="preserve">Immediate notification/continuity</w:t>
            </w:r>
          </w:p>
        </w:tc>
        <w:tc>
          <w:tcPr/>
          <w:p>
            <w:pPr>
              <w:pStyle w:val="Compact"/>
            </w:pPr>
            <w:r>
              <w:t xml:space="preserve">EVID-36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TSP-37</w:t>
            </w:r>
          </w:p>
        </w:tc>
        <w:tc>
          <w:tcPr/>
          <w:p>
            <w:pPr>
              <w:pStyle w:val="Compact"/>
            </w:pPr>
            <w:r>
              <w:t xml:space="preserve">Critical exit notification</w:t>
            </w:r>
          </w:p>
        </w:tc>
        <w:tc>
          <w:tcPr/>
          <w:p>
            <w:pPr>
              <w:pStyle w:val="Compact"/>
            </w:pPr>
            <w:r>
              <w:t xml:space="preserve">EVID-37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TSP-38</w:t>
            </w:r>
          </w:p>
        </w:tc>
        <w:tc>
          <w:tcPr/>
          <w:p>
            <w:pPr>
              <w:pStyle w:val="Compact"/>
            </w:pPr>
            <w:r>
              <w:t xml:space="preserve">Internal audit evidence</w:t>
            </w:r>
          </w:p>
        </w:tc>
        <w:tc>
          <w:tcPr/>
          <w:p>
            <w:pPr>
              <w:pStyle w:val="Compact"/>
            </w:pPr>
            <w:r>
              <w:t xml:space="preserve">EVID-38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TSP-39</w:t>
            </w:r>
          </w:p>
        </w:tc>
        <w:tc>
          <w:tcPr/>
          <w:p>
            <w:pPr>
              <w:pStyle w:val="Compact"/>
            </w:pPr>
            <w:r>
              <w:t xml:space="preserve">External expert readiness</w:t>
            </w:r>
          </w:p>
        </w:tc>
        <w:tc>
          <w:tcPr/>
          <w:p>
            <w:pPr>
              <w:pStyle w:val="Compact"/>
            </w:pPr>
            <w:r>
              <w:t xml:space="preserve">EVID-39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TSP-40</w:t>
            </w:r>
          </w:p>
        </w:tc>
        <w:tc>
          <w:tcPr/>
          <w:p>
            <w:pPr>
              <w:pStyle w:val="Compact"/>
            </w:pPr>
            <w:r>
              <w:t xml:space="preserve">Registry completeness</w:t>
            </w:r>
          </w:p>
        </w:tc>
        <w:tc>
          <w:tcPr/>
          <w:p>
            <w:pPr>
              <w:pStyle w:val="Compact"/>
            </w:pPr>
            <w:r>
              <w:t xml:space="preserve">EVID-40</w:t>
            </w:r>
          </w:p>
        </w:tc>
      </w:tr>
    </w:tbl>
    <w:p>
      <w:pPr>
        <w:pStyle w:val="FirstParagraph"/>
      </w:pPr>
      <w:r>
        <w:t xml:space="preserve">Evidence storage, provenance and integrity remain owned by the existing HISN Evidence subsystem. The TSP domain owns control semantics only.</w:t>
      </w:r>
    </w:p>
    <w:p>
      <w:pPr>
        <w:pStyle w:val="Heading2"/>
      </w:pPr>
      <w:bookmarkStart w:id="24" w:name="_75cc9b71662c92c7fc4b5120f2892d35f07eaf8"/>
      <w:r>
        <w:t xml:space="preserve">7. RLS contract</w:t>
      </w:r>
    </w:p>
    <w:p>
      <w:pPr>
        <w:pStyle w:val="FirstParagraph"/>
      </w:pPr>
      <w:r>
        <w:t xml:space="preserve">The TSP schema follows the existing HISN tenant boundary:</w:t>
      </w:r>
      <w:r>
        <w:t xml:space="preserve"> </w:t>
      </w:r>
      <w:r>
        <w:rPr>
          <w:rStyle w:val="VerbatimChar"/>
        </w:rPr>
        <w:t xml:space="preserve">hisn.current_tenant()</w:t>
      </w:r>
      <w:r>
        <w:t xml:space="preserve">,</w:t>
      </w:r>
      <w:r>
        <w:t xml:space="preserve"> </w:t>
      </w:r>
      <w:r>
        <w:rPr>
          <w:rStyle w:val="VerbatimChar"/>
        </w:rPr>
        <w:t xml:space="preserve">tenant_context_access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tenant_context_isolation</w:t>
      </w:r>
      <w:r>
        <w:t xml:space="preserve">, ENABLE RLS, FORCE RLS.</w:t>
      </w:r>
    </w:p>
    <w:p>
      <w:pPr>
        <w:pStyle w:val="BodyText"/>
      </w:pPr>
      <w:r>
        <w:t xml:space="preserve">Every TSP table must be tenant-bound and evidence-bound.</w:t>
      </w:r>
    </w:p>
    <w:p>
      <w:pPr>
        <w:pStyle w:val="Heading3"/>
      </w:pPr>
      <w:bookmarkStart w:id="25" w:name="_25d15e8947e46323db20074121561610727e5ad"/>
      <w:r>
        <w:t xml:space="preserve">RLS policy drafts</w:t>
      </w:r>
    </w:p>
    <w:p>
      <w:pPr>
        <w:pStyle w:val="Heading3"/>
      </w:pPr>
      <w:bookmarkStart w:id="26" w:name="_d8b4adc6bd2487d723e5c2d14a83eb35cec6803"/>
      <w:r>
        <w:t xml:space="preserve">RLS-01 —</w:t>
      </w:r>
      <w:r>
        <w:t xml:space="preserve"> </w:t>
      </w:r>
      <w:r>
        <w:rPr>
          <w:rStyle w:val="VerbatimChar"/>
        </w:rPr>
        <w:t xml:space="preserve">hisn.third_party_providers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hisn.third_party_providers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hisn.third_party_providers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hisn.third_party_providers;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hisn.third_party_providers;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hisn.third_party_providers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hisn.third_party_providers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27" w:name="_61f314e7f3e77814c3e8aaaee58be811446c3d7"/>
      <w:r>
        <w:t xml:space="preserve">RLS-02 —</w:t>
      </w:r>
      <w:r>
        <w:t xml:space="preserve"> </w:t>
      </w:r>
      <w:r>
        <w:rPr>
          <w:rStyle w:val="VerbatimChar"/>
        </w:rPr>
        <w:t xml:space="preserve">hisn.third_party_relationships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hisn.third_party_relationships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hisn.third_party_relationships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hisn.third_party_relationships;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hisn.third_party_relationships;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hisn.third_party_relationships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hisn.third_party_relationships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28" w:name="_90af52044f8a46f763e8db2ae66ede54a83daa0"/>
      <w:r>
        <w:t xml:space="preserve">RLS-03 —</w:t>
      </w:r>
      <w:r>
        <w:t xml:space="preserve"> </w:t>
      </w:r>
      <w:r>
        <w:rPr>
          <w:rStyle w:val="VerbatimChar"/>
        </w:rPr>
        <w:t xml:space="preserve">hisn.third_party_services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hisn.third_party_services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hisn.third_party_services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hisn.third_party_services;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hisn.third_party_services;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hisn.third_party_services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hisn.third_party_services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29" w:name="_6b5b44c90b94f7f6dd5b07418b6188274faeda2"/>
      <w:r>
        <w:t xml:space="preserve">RLS-04 —</w:t>
      </w:r>
      <w:r>
        <w:t xml:space="preserve"> </w:t>
      </w:r>
      <w:r>
        <w:rPr>
          <w:rStyle w:val="VerbatimChar"/>
        </w:rPr>
        <w:t xml:space="preserve">hisn.third_party_classifications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hisn.third_party_classifications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hisn.third_party_classifications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hisn.third_party_classifications;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hisn.third_party_classifications;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hisn.third_party_classifications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hisn.third_party_classifications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30" w:name="_6ca7cd4158427302fdc8b0a780b7ebbf3bc7487"/>
      <w:r>
        <w:t xml:space="preserve">RLS-05 —</w:t>
      </w:r>
      <w:r>
        <w:t xml:space="preserve"> </w:t>
      </w:r>
      <w:r>
        <w:rPr>
          <w:rStyle w:val="VerbatimChar"/>
        </w:rPr>
        <w:t xml:space="preserve">hisn.third_party_criticality_assessments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hisn.third_party_criticality_assessments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hisn.third_party_criticality_assessments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hisn.third_party_criticality_assessments;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hisn.third_party_criticality_assessments;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hisn.third_party_criticality_assessments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hisn.third_party_criticality_assessments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31" w:name="_726bfb0c1594219e4f1fc3e67f3dc82a56fd749"/>
      <w:r>
        <w:t xml:space="preserve">RLS-06 —</w:t>
      </w:r>
      <w:r>
        <w:t xml:space="preserve"> </w:t>
      </w:r>
      <w:r>
        <w:rPr>
          <w:rStyle w:val="VerbatimChar"/>
        </w:rPr>
        <w:t xml:space="preserve">hisn.third_party_due_diligence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hisn.third_party_due_diligence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hisn.third_party_due_diligence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hisn.third_party_due_diligence;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hisn.third_party_due_diligence;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hisn.third_party_due_diligence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hisn.third_party_due_diligence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32" w:name="_d9f2767eb43451c53b14c0081e569e0d4273486"/>
      <w:r>
        <w:t xml:space="preserve">RLS-07 —</w:t>
      </w:r>
      <w:r>
        <w:t xml:space="preserve"> </w:t>
      </w:r>
      <w:r>
        <w:rPr>
          <w:rStyle w:val="VerbatimChar"/>
        </w:rPr>
        <w:t xml:space="preserve">hisn.third_party_risk_assessments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hisn.third_party_risk_assessments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hisn.third_party_risk_assessments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hisn.third_party_risk_assessments;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hisn.third_party_risk_assessments;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hisn.third_party_risk_assessments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hisn.third_party_risk_assessments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33" w:name="_b8947f3ec1d9fb5e84ac469c992027b2b8be529"/>
      <w:r>
        <w:t xml:space="preserve">RLS-08 —</w:t>
      </w:r>
      <w:r>
        <w:t xml:space="preserve"> </w:t>
      </w:r>
      <w:r>
        <w:rPr>
          <w:rStyle w:val="VerbatimChar"/>
        </w:rPr>
        <w:t xml:space="preserve">hisn.third_party_coi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hisn.third_party_coi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hisn.third_party_coi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hisn.third_party_coi;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hisn.third_party_coi;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hisn.third_party_coi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hisn.third_party_coi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34" w:name="_ef0e794efd5be97f6fb12aa8447315ffd8e7612"/>
      <w:r>
        <w:t xml:space="preserve">RLS-09 —</w:t>
      </w:r>
      <w:r>
        <w:t xml:space="preserve"> </w:t>
      </w:r>
      <w:r>
        <w:rPr>
          <w:rStyle w:val="VerbatimChar"/>
        </w:rPr>
        <w:t xml:space="preserve">hisn.third_party_contract_controls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hisn.third_party_contract_controls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hisn.third_party_contract_controls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hisn.third_party_contract_controls;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hisn.third_party_contract_controls;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hisn.third_party_contract_controls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hisn.third_party_contract_controls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35" w:name="_7945d5610018e637cfe3dfca94c867091afed02"/>
      <w:r>
        <w:t xml:space="preserve">RLS-10 —</w:t>
      </w:r>
      <w:r>
        <w:t xml:space="preserve"> </w:t>
      </w:r>
      <w:r>
        <w:rPr>
          <w:rStyle w:val="VerbatimChar"/>
        </w:rPr>
        <w:t xml:space="preserve">hisn.third_party_sla_profiles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hisn.third_party_sla_profiles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hisn.third_party_sla_profiles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hisn.third_party_sla_profiles;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hisn.third_party_sla_profiles;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hisn.third_party_sla_profiles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hisn.third_party_sla_profiles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36" w:name="_08d17f8f4ef91483764466ef0ccde1c6a2346fb"/>
      <w:r>
        <w:t xml:space="preserve">RLS-11 —</w:t>
      </w:r>
      <w:r>
        <w:t xml:space="preserve"> </w:t>
      </w:r>
      <w:r>
        <w:rPr>
          <w:rStyle w:val="VerbatimChar"/>
        </w:rPr>
        <w:t xml:space="preserve">hisn.third_party_subprocessors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hisn.third_party_subprocessors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hisn.third_party_subprocessors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hisn.third_party_subprocessors;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hisn.third_party_subprocessors;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hisn.third_party_subprocessors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hisn.third_party_subprocessors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37" w:name="_9ca9213731c25f61e86119679626df0dc0b9762"/>
      <w:r>
        <w:t xml:space="preserve">RLS-12 —</w:t>
      </w:r>
      <w:r>
        <w:t xml:space="preserve"> </w:t>
      </w:r>
      <w:r>
        <w:rPr>
          <w:rStyle w:val="VerbatimChar"/>
        </w:rPr>
        <w:t xml:space="preserve">hisn.third_party_data_processing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hisn.third_party_data_processing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hisn.third_party_data_processing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hisn.third_party_data_processing;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hisn.third_party_data_processing;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hisn.third_party_data_processing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hisn.third_party_data_processing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38" w:name="_cd9bf5ac945d2370a4db3acce786646ba48824e"/>
      <w:r>
        <w:t xml:space="preserve">RLS-13 —</w:t>
      </w:r>
      <w:r>
        <w:t xml:space="preserve"> </w:t>
      </w:r>
      <w:r>
        <w:rPr>
          <w:rStyle w:val="VerbatimChar"/>
        </w:rPr>
        <w:t xml:space="preserve">hisn.third_party_reviews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hisn.third_party_reviews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hisn.third_party_reviews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hisn.third_party_reviews;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hisn.third_party_reviews;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hisn.third_party_reviews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hisn.third_party_reviews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39" w:name="_f75f4013f46d9832a9a3d2d289dea5365b53942"/>
      <w:r>
        <w:t xml:space="preserve">RLS-14 —</w:t>
      </w:r>
      <w:r>
        <w:t xml:space="preserve"> </w:t>
      </w:r>
      <w:r>
        <w:rPr>
          <w:rStyle w:val="VerbatimChar"/>
        </w:rPr>
        <w:t xml:space="preserve">hisn.third_party_incidents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hisn.third_party_incidents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hisn.third_party_incidents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hisn.third_party_incidents;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hisn.third_party_incidents;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hisn.third_party_incidents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hisn.third_party_incidents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40" w:name="_f3ae084f7f4e2d39946532c876c1beafa908b85"/>
      <w:r>
        <w:t xml:space="preserve">RLS-15 —</w:t>
      </w:r>
      <w:r>
        <w:t xml:space="preserve"> </w:t>
      </w:r>
      <w:r>
        <w:rPr>
          <w:rStyle w:val="VerbatimChar"/>
        </w:rPr>
        <w:t xml:space="preserve">hisn.third_party_regulatory_access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hisn.third_party_regulatory_access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hisn.third_party_regulatory_access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hisn.third_party_regulatory_access;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hisn.third_party_regulatory_access;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hisn.third_party_regulatory_access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hisn.third_party_regulatory_access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41" w:name="_9081b631f70450e78ea6fe35edb7dc8839dafc2"/>
      <w:r>
        <w:t xml:space="preserve">RLS-16 —</w:t>
      </w:r>
      <w:r>
        <w:t xml:space="preserve"> </w:t>
      </w:r>
      <w:r>
        <w:rPr>
          <w:rStyle w:val="VerbatimChar"/>
        </w:rPr>
        <w:t xml:space="preserve">hisn.third_party_continuity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hisn.third_party_continuity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hisn.third_party_continuity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hisn.third_party_continuity;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hisn.third_party_continuity;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hisn.third_party_continuity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hisn.third_party_continuity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Heading3"/>
      </w:pPr>
      <w:bookmarkStart w:id="42" w:name="_1f62b42d5b574a32661e4ba8cf90190f92751e7"/>
      <w:r>
        <w:t xml:space="preserve">RLS-17 —</w:t>
      </w:r>
      <w:r>
        <w:t xml:space="preserve"> </w:t>
      </w:r>
      <w:r>
        <w:rPr>
          <w:rStyle w:val="VerbatimChar"/>
        </w:rPr>
        <w:t xml:space="preserve">hisn.third_party_exit_plans</w:t>
      </w:r>
    </w:p>
    <w:p>
      <w:pPr>
        <w:pStyle w:val="FirstParagraph"/>
      </w:pPr>
      <w:r>
        <w:t xml:space="preserve">Required columns:</w:t>
      </w:r>
    </w:p>
    <w:p>
      <w:pPr>
        <w:pStyle w:val="SourceCode"/>
      </w:pPr>
      <w:r>
        <w:rPr>
          <w:rStyle w:val="VerbatimChar"/>
        </w:rPr>
        <w:t xml:space="preserve">id</w:t>
      </w:r>
      <w:r>
        <w:br/>
      </w: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Draft policy:</w:t>
      </w:r>
    </w:p>
    <w:p>
      <w:pPr>
        <w:pStyle w:val="SourceCode"/>
      </w:pP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hisn.third_party_exit_plans </w:t>
      </w:r>
      <w:r>
        <w:rPr>
          <w:rStyle w:val="KeywordTok"/>
        </w:rPr>
        <w:t xml:space="preserve">ENABLE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hisn.third_party_exit_plans </w:t>
      </w:r>
      <w:r>
        <w:rPr>
          <w:rStyle w:val="KeywordTok"/>
        </w:rPr>
        <w:t xml:space="preserve">FORCE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LEVEL</w:t>
      </w:r>
      <w:r>
        <w:rPr>
          <w:rStyle w:val="NormalTok"/>
        </w:rPr>
        <w:t xml:space="preserve"> SECURITY;</w:t>
      </w:r>
      <w:r>
        <w:br/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tenant_context_access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hisn.third_party_exit_plans;</w:t>
      </w:r>
      <w:r>
        <w:br/>
      </w:r>
      <w:r>
        <w:rPr>
          <w:rStyle w:val="KeywordTok"/>
        </w:rPr>
        <w:t xml:space="preserve">DROP</w:t>
      </w:r>
      <w:r>
        <w:rPr>
          <w:rStyle w:val="NormalTok"/>
        </w:rPr>
        <w:t xml:space="preserve"> POLICY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tenant_context_isolation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hisn.third_party_exit_plans;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tenant_context_access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hisn.third_party_exit_plans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PERMISSIVE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POLICY tenant_context_isolation</w:t>
      </w:r>
      <w:r>
        <w:br/>
      </w:r>
      <w:r>
        <w:rPr>
          <w:rStyle w:val="KeywordTok"/>
        </w:rPr>
        <w:t xml:space="preserve">ON</w:t>
      </w:r>
      <w:r>
        <w:rPr>
          <w:rStyle w:val="NormalTok"/>
        </w:rPr>
        <w:t xml:space="preserve"> hisn.third_party_exit_plans</w:t>
      </w:r>
      <w:r>
        <w:br/>
      </w:r>
      <w:r>
        <w:rPr>
          <w:rStyle w:val="KeywordTok"/>
        </w:rPr>
        <w:t xml:space="preserve">AS</w:t>
      </w:r>
      <w:r>
        <w:rPr>
          <w:rStyle w:val="NormalTok"/>
        </w:rPr>
        <w:t xml:space="preserve"> RESTRICTIVE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br/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</w:t>
      </w:r>
      <w:r>
        <w:br/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(tenant_id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hisn.current_tenant());</w:t>
      </w:r>
    </w:p>
    <w:p>
      <w:pPr>
        <w:pStyle w:val="FirstParagraph"/>
      </w:pPr>
      <w:r>
        <w:t xml:space="preserve">Migration closure must execute: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hisn.apply_tenant_rls();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hisn.assert_tenant_rls_coverage();</w:t>
      </w:r>
    </w:p>
    <w:p>
      <w:pPr>
        <w:pStyle w:val="FirstParagraph"/>
      </w:pPr>
      <w:r>
        <w:rPr>
          <w:b/>
          <w:bCs/>
        </w:rPr>
        <w:t xml:space="preserve">Review invariant:</w:t>
      </w:r>
      <w:r>
        <w:t xml:space="preserve"> </w:t>
      </w:r>
      <w:r>
        <w:t xml:space="preserve">do not author executable migrations until all RLS drafts above have been reviewed against the canonical tenant boundary.</w:t>
      </w:r>
    </w:p>
    <w:p>
      <w:pPr>
        <w:pStyle w:val="Heading2"/>
      </w:pPr>
      <w:bookmarkStart w:id="43" w:name="_d4ed03667f22fc0d100c070dffe8eec8e36dc64"/>
      <w:r>
        <w:t xml:space="preserve">8. Persistence invariants</w:t>
      </w:r>
    </w:p>
    <w:p>
      <w:pPr>
        <w:pStyle w:val="FirstParagraph"/>
      </w:pPr>
      <w:r>
        <w:t xml:space="preserve">Every canonical TSP table must contain:</w:t>
      </w:r>
    </w:p>
    <w:p>
      <w:pPr>
        <w:pStyle w:val="SourceCode"/>
      </w:pPr>
      <w:r>
        <w:rPr>
          <w:rStyle w:val="VerbatimChar"/>
        </w:rPr>
        <w:t xml:space="preserve">tenant_id UUID NOT NULL REFERENCES hisn.tenants(id)</w:t>
      </w:r>
      <w:r>
        <w:br/>
      </w:r>
      <w:r>
        <w:rPr>
          <w:rStyle w:val="VerbatimChar"/>
        </w:rPr>
        <w:t xml:space="preserve">evidence_id UUID NOT NULL</w:t>
      </w:r>
      <w:r>
        <w:br/>
      </w:r>
      <w:r>
        <w:rPr>
          <w:rStyle w:val="VerbatimChar"/>
        </w:rPr>
        <w:t xml:space="preserve">created_at TIMESTAMPTZ NOT NULL</w:t>
      </w:r>
      <w:r>
        <w:br/>
      </w:r>
      <w:r>
        <w:rPr>
          <w:rStyle w:val="VerbatimChar"/>
        </w:rPr>
        <w:t xml:space="preserve">updated_at TIMESTAMPTZ NOT NULL</w:t>
      </w:r>
    </w:p>
    <w:p>
      <w:pPr>
        <w:pStyle w:val="FirstParagraph"/>
      </w:pPr>
      <w:r>
        <w:t xml:space="preserve">Additional business keys and foreign keys are defined in the migration design.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evidence_id</w:t>
      </w:r>
      <w:r>
        <w:t xml:space="preserve"> </w:t>
      </w:r>
      <w:r>
        <w:t xml:space="preserve">is a canonical evidence pointer for the governed control state. Evidence multiplicity remains in the evidence subsystem; TSP tables must not become evidence stores.</w:t>
      </w:r>
    </w:p>
    <w:p>
      <w:pPr>
        <w:pStyle w:val="Heading2"/>
      </w:pPr>
      <w:bookmarkStart w:id="44" w:name="_9c52a6546f46225c4d9aa630f07fe3ec5f59d02"/>
      <w:r>
        <w:t xml:space="preserve">9. API contract</w:t>
      </w:r>
    </w:p>
    <w:p>
      <w:pPr>
        <w:pStyle w:val="FirstParagraph"/>
      </w:pPr>
      <w:r>
        <w:t xml:space="preserve">Target namespace:</w:t>
      </w:r>
    </w:p>
    <w:p>
      <w:pPr>
        <w:pStyle w:val="SourceCode"/>
      </w:pPr>
      <w:r>
        <w:rPr>
          <w:rStyle w:val="VerbatimChar"/>
        </w:rPr>
        <w:t xml:space="preserve">/api/third-parties</w:t>
      </w:r>
      <w:r>
        <w:br/>
      </w:r>
      <w:r>
        <w:rPr>
          <w:rStyle w:val="VerbatimChar"/>
        </w:rPr>
        <w:t xml:space="preserve">/api/third-parties/{relationship_id}</w:t>
      </w:r>
      <w:r>
        <w:br/>
      </w:r>
      <w:r>
        <w:rPr>
          <w:rStyle w:val="VerbatimChar"/>
        </w:rPr>
        <w:t xml:space="preserve">/api/third-parties/{relationship_id}/services</w:t>
      </w:r>
      <w:r>
        <w:br/>
      </w:r>
      <w:r>
        <w:rPr>
          <w:rStyle w:val="VerbatimChar"/>
        </w:rPr>
        <w:t xml:space="preserve">/api/third-parties/{relationship_id}/classification</w:t>
      </w:r>
      <w:r>
        <w:br/>
      </w:r>
      <w:r>
        <w:rPr>
          <w:rStyle w:val="VerbatimChar"/>
        </w:rPr>
        <w:t xml:space="preserve">/api/third-parties/{relationship_id}/criticality</w:t>
      </w:r>
      <w:r>
        <w:br/>
      </w:r>
      <w:r>
        <w:rPr>
          <w:rStyle w:val="VerbatimChar"/>
        </w:rPr>
        <w:t xml:space="preserve">/api/third-parties/{relationship_id}/risk</w:t>
      </w:r>
      <w:r>
        <w:br/>
      </w:r>
      <w:r>
        <w:rPr>
          <w:rStyle w:val="VerbatimChar"/>
        </w:rPr>
        <w:t xml:space="preserve">/api/third-parties/{relationship_id}/due-diligence</w:t>
      </w:r>
      <w:r>
        <w:br/>
      </w:r>
      <w:r>
        <w:rPr>
          <w:rStyle w:val="VerbatimChar"/>
        </w:rPr>
        <w:t xml:space="preserve">/api/third-parties/{relationship_id}/contracts</w:t>
      </w:r>
      <w:r>
        <w:br/>
      </w:r>
      <w:r>
        <w:rPr>
          <w:rStyle w:val="VerbatimChar"/>
        </w:rPr>
        <w:t xml:space="preserve">/api/third-parties/{relationship_id}/slas</w:t>
      </w:r>
      <w:r>
        <w:br/>
      </w:r>
      <w:r>
        <w:rPr>
          <w:rStyle w:val="VerbatimChar"/>
        </w:rPr>
        <w:t xml:space="preserve">/api/third-parties/{relationship_id}/subprocessors</w:t>
      </w:r>
      <w:r>
        <w:br/>
      </w:r>
      <w:r>
        <w:rPr>
          <w:rStyle w:val="VerbatimChar"/>
        </w:rPr>
        <w:t xml:space="preserve">/api/third-parties/{relationship_id}/data-processing</w:t>
      </w:r>
      <w:r>
        <w:br/>
      </w:r>
      <w:r>
        <w:rPr>
          <w:rStyle w:val="VerbatimChar"/>
        </w:rPr>
        <w:t xml:space="preserve">/api/third-parties/{relationship_id}/reviews</w:t>
      </w:r>
      <w:r>
        <w:br/>
      </w:r>
      <w:r>
        <w:rPr>
          <w:rStyle w:val="VerbatimChar"/>
        </w:rPr>
        <w:t xml:space="preserve">/api/third-parties/{relationship_id}/incidents</w:t>
      </w:r>
      <w:r>
        <w:br/>
      </w:r>
      <w:r>
        <w:rPr>
          <w:rStyle w:val="VerbatimChar"/>
        </w:rPr>
        <w:t xml:space="preserve">/api/third-parties/{relationship_id}/regulatory-access</w:t>
      </w:r>
      <w:r>
        <w:br/>
      </w:r>
      <w:r>
        <w:rPr>
          <w:rStyle w:val="VerbatimChar"/>
        </w:rPr>
        <w:t xml:space="preserve">/api/third-parties/{relationship_id}/continuity</w:t>
      </w:r>
      <w:r>
        <w:br/>
      </w:r>
      <w:r>
        <w:rPr>
          <w:rStyle w:val="VerbatimChar"/>
        </w:rPr>
        <w:t xml:space="preserve">/api/third-parties/{relationship_id}/exit</w:t>
      </w:r>
      <w:r>
        <w:br/>
      </w:r>
      <w:r>
        <w:rPr>
          <w:rStyle w:val="VerbatimChar"/>
        </w:rPr>
        <w:t xml:space="preserve">/api/third-parties/{relationship_id}/evidence-pack</w:t>
      </w:r>
    </w:p>
    <w:p>
      <w:pPr>
        <w:pStyle w:val="FirstParagraph"/>
      </w:pPr>
      <w:r>
        <w:t xml:space="preserve">API invariants:</w:t>
      </w:r>
    </w:p>
    <w:p>
      <w:pPr>
        <w:pStyle w:val="Compact"/>
        <w:numPr>
          <w:ilvl w:val="0"/>
          <w:numId w:val="1002"/>
        </w:numPr>
      </w:pPr>
      <w:r>
        <w:t xml:space="preserve">Authenticate and establish tenant context before data access.</w:t>
      </w:r>
    </w:p>
    <w:p>
      <w:pPr>
        <w:pStyle w:val="Compact"/>
        <w:numPr>
          <w:ilvl w:val="0"/>
          <w:numId w:val="1002"/>
        </w:numPr>
      </w:pPr>
      <w:r>
        <w:t xml:space="preserve">Authorize the action before business mutation.</w:t>
      </w:r>
    </w:p>
    <w:p>
      <w:pPr>
        <w:pStyle w:val="Compact"/>
        <w:numPr>
          <w:ilvl w:val="0"/>
          <w:numId w:val="1002"/>
        </w:numPr>
      </w:pPr>
      <w:r>
        <w:t xml:space="preserve">Every mutation has an audit event.</w:t>
      </w:r>
    </w:p>
    <w:p>
      <w:pPr>
        <w:pStyle w:val="Compact"/>
        <w:numPr>
          <w:ilvl w:val="0"/>
          <w:numId w:val="1002"/>
        </w:numPr>
      </w:pPr>
      <w:r>
        <w:t xml:space="preserve">Every governed state has evidence binding.</w:t>
      </w:r>
    </w:p>
    <w:p>
      <w:pPr>
        <w:pStyle w:val="Compact"/>
        <w:numPr>
          <w:ilvl w:val="0"/>
          <w:numId w:val="1002"/>
        </w:numPr>
      </w:pPr>
      <w:r>
        <w:t xml:space="preserve">Regulatory access is read-only, scoped, attributable and time-bounded.</w:t>
      </w:r>
    </w:p>
    <w:p>
      <w:pPr>
        <w:pStyle w:val="Compact"/>
        <w:numPr>
          <w:ilvl w:val="0"/>
          <w:numId w:val="1002"/>
        </w:numPr>
      </w:pPr>
      <w:r>
        <w:t xml:space="preserve">No endpoint writes Decision DNA.</w:t>
      </w:r>
    </w:p>
    <w:p>
      <w:pPr>
        <w:pStyle w:val="Compact"/>
        <w:numPr>
          <w:ilvl w:val="0"/>
          <w:numId w:val="1002"/>
        </w:numPr>
      </w:pPr>
      <w:r>
        <w:t xml:space="preserve">No endpoint creates a second evidence lineage.</w:t>
      </w:r>
    </w:p>
    <w:p>
      <w:pPr>
        <w:pStyle w:val="Compact"/>
        <w:numPr>
          <w:ilvl w:val="0"/>
          <w:numId w:val="1002"/>
        </w:numPr>
      </w:pPr>
      <w:r>
        <w:t xml:space="preserve">No endpoint turns UNKNOWN/BLOCKED into PASS through defaults or retries.</w:t>
      </w:r>
    </w:p>
    <w:p>
      <w:pPr>
        <w:pStyle w:val="Heading2"/>
      </w:pPr>
      <w:bookmarkStart w:id="45" w:name="_15ded8e8d00a4b700af7eddeb2ab85f2e2897dc"/>
      <w:r>
        <w:t xml:space="preserve">10. Regulatory Access Mode</w:t>
      </w:r>
    </w:p>
    <w:p>
      <w:pPr>
        <w:pStyle w:val="FirstParagraph"/>
      </w:pPr>
      <w:r>
        <w:rPr>
          <w:rStyle w:val="VerbatimChar"/>
        </w:rPr>
        <w:t xml:space="preserve">RegulatoryAccessGrant</w:t>
      </w:r>
      <w:r>
        <w:t xml:space="preserve"> </w:t>
      </w:r>
      <w:r>
        <w:t xml:space="preserve">must include:</w:t>
      </w:r>
    </w:p>
    <w:p>
      <w:pPr>
        <w:pStyle w:val="SourceCode"/>
      </w:pPr>
      <w:r>
        <w:rPr>
          <w:rStyle w:val="VerbatimChar"/>
        </w:rPr>
        <w:t xml:space="preserve">request_id</w:t>
      </w:r>
      <w:r>
        <w:br/>
      </w:r>
      <w:r>
        <w:rPr>
          <w:rStyle w:val="VerbatimChar"/>
        </w:rPr>
        <w:t xml:space="preserve">authority</w:t>
      </w:r>
      <w:r>
        <w:br/>
      </w:r>
      <w:r>
        <w:rPr>
          <w:rStyle w:val="VerbatimChar"/>
        </w:rPr>
        <w:t xml:space="preserve">requestor_identity</w:t>
      </w:r>
      <w:r>
        <w:br/>
      </w:r>
      <w:r>
        <w:rPr>
          <w:rStyle w:val="VerbatimChar"/>
        </w:rPr>
        <w:t xml:space="preserve">purpose</w:t>
      </w:r>
      <w:r>
        <w:br/>
      </w:r>
      <w:r>
        <w:rPr>
          <w:rStyle w:val="VerbatimChar"/>
        </w:rPr>
        <w:t xml:space="preserve">scope</w:t>
      </w:r>
      <w:r>
        <w:br/>
      </w:r>
      <w:r>
        <w:rPr>
          <w:rStyle w:val="VerbatimChar"/>
        </w:rPr>
        <w:t xml:space="preserve">tenant_scope</w:t>
      </w:r>
      <w:r>
        <w:br/>
      </w:r>
      <w:r>
        <w:rPr>
          <w:rStyle w:val="VerbatimChar"/>
        </w:rPr>
        <w:t xml:space="preserve">relationship_scope</w:t>
      </w:r>
      <w:r>
        <w:br/>
      </w:r>
      <w:r>
        <w:rPr>
          <w:rStyle w:val="VerbatimChar"/>
        </w:rPr>
        <w:t xml:space="preserve">time_window</w:t>
      </w:r>
      <w:r>
        <w:br/>
      </w:r>
      <w:r>
        <w:rPr>
          <w:rStyle w:val="VerbatimChar"/>
        </w:rPr>
        <w:t xml:space="preserve">read_only=true</w:t>
      </w:r>
      <w:r>
        <w:br/>
      </w:r>
      <w:r>
        <w:rPr>
          <w:rStyle w:val="VerbatimChar"/>
        </w:rPr>
        <w:t xml:space="preserve">approval_reference</w:t>
      </w:r>
      <w:r>
        <w:br/>
      </w:r>
      <w:r>
        <w:rPr>
          <w:rStyle w:val="VerbatimChar"/>
        </w:rPr>
        <w:t xml:space="preserve">access_reason</w:t>
      </w:r>
      <w:r>
        <w:br/>
      </w:r>
      <w:r>
        <w:rPr>
          <w:rStyle w:val="VerbatimChar"/>
        </w:rPr>
        <w:t xml:space="preserve">created_at</w:t>
      </w:r>
      <w:r>
        <w:br/>
      </w:r>
      <w:r>
        <w:rPr>
          <w:rStyle w:val="VerbatimChar"/>
        </w:rPr>
        <w:t xml:space="preserve">expires_at</w:t>
      </w:r>
      <w:r>
        <w:br/>
      </w:r>
      <w:r>
        <w:rPr>
          <w:rStyle w:val="VerbatimChar"/>
        </w:rPr>
        <w:t xml:space="preserve">audit_reference</w:t>
      </w:r>
    </w:p>
    <w:p>
      <w:pPr>
        <w:pStyle w:val="FirstParagraph"/>
      </w:pPr>
      <w:r>
        <w:t xml:space="preserve">The API must reject mutation attempts under regulatory access credentials.</w:t>
      </w:r>
    </w:p>
    <w:p>
      <w:pPr>
        <w:pStyle w:val="Heading2"/>
      </w:pPr>
      <w:bookmarkStart w:id="46" w:name="_54a15156412ed32923afb0312d9f20f9cb237ae"/>
      <w:r>
        <w:t xml:space="preserve">11. Exit and continuity</w:t>
      </w:r>
    </w:p>
    <w:p>
      <w:pPr>
        <w:pStyle w:val="FirstParagraph"/>
      </w:pPr>
      <w:r>
        <w:t xml:space="preserve">Exit must use:</w:t>
      </w:r>
    </w:p>
    <w:p>
      <w:pPr>
        <w:pStyle w:val="SourceCode"/>
      </w:pPr>
      <w:r>
        <w:rPr>
          <w:rStyle w:val="VerbatimChar"/>
        </w:rPr>
        <w:t xml:space="preserve">EXIT_REQUESTED</w:t>
      </w:r>
      <w:r>
        <w:br/>
      </w:r>
      <w:r>
        <w:rPr>
          <w:rStyle w:val="VerbatimChar"/>
        </w:rPr>
        <w:t xml:space="preserve"> -&gt; TRANSITION_PLAN_APPROVED</w:t>
      </w:r>
      <w:r>
        <w:br/>
      </w:r>
      <w:r>
        <w:rPr>
          <w:rStyle w:val="VerbatimChar"/>
        </w:rPr>
        <w:t xml:space="preserve"> -&gt; ALTERNATIVE_OR_INHOUSE_CONFIRMED</w:t>
      </w:r>
      <w:r>
        <w:br/>
      </w:r>
      <w:r>
        <w:rPr>
          <w:rStyle w:val="VerbatimChar"/>
        </w:rPr>
        <w:t xml:space="preserve"> -&gt; DATA_RETURN_EXECUTED</w:t>
      </w:r>
      <w:r>
        <w:br/>
      </w:r>
      <w:r>
        <w:rPr>
          <w:rStyle w:val="VerbatimChar"/>
        </w:rPr>
        <w:t xml:space="preserve"> -&gt; DATA_DESTRUCTION_EXECUTED</w:t>
      </w:r>
      <w:r>
        <w:br/>
      </w:r>
      <w:r>
        <w:rPr>
          <w:rStyle w:val="VerbatimChar"/>
        </w:rPr>
        <w:t xml:space="preserve"> -&gt; DESTRUCTION_VALIDATED</w:t>
      </w:r>
      <w:r>
        <w:br/>
      </w:r>
      <w:r>
        <w:rPr>
          <w:rStyle w:val="VerbatimChar"/>
        </w:rPr>
        <w:t xml:space="preserve"> -&gt; EXIT_CLOSED</w:t>
      </w:r>
    </w:p>
    <w:p>
      <w:pPr>
        <w:pStyle w:val="FirstParagraph"/>
      </w:pPr>
      <w:r>
        <w:t xml:space="preserve">The state cannot skip required steps. Exceptions require named approval and evidence.</w:t>
      </w:r>
    </w:p>
    <w:p>
      <w:pPr>
        <w:pStyle w:val="Heading2"/>
      </w:pPr>
      <w:bookmarkStart w:id="47" w:name="_320e218f6bda851fce2fb6db83e9718c3b5db79"/>
      <w:r>
        <w:t xml:space="preserve">12. TSP contractual validation scenarios</w:t>
      </w:r>
    </w:p>
    <w:p>
      <w:pPr>
        <w:pStyle w:val="FirstParagraph"/>
      </w:pPr>
      <w:r>
        <w:t xml:space="preserve">These are</w:t>
      </w:r>
      <w:r>
        <w:t xml:space="preserve"> </w:t>
      </w:r>
      <w:r>
        <w:rPr>
          <w:b/>
          <w:bCs/>
        </w:rPr>
        <w:t xml:space="preserve">contract fixtures to be implemented and executed</w:t>
      </w:r>
      <w:r>
        <w:t xml:space="preserve">, not external-party proof.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Expected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TSP-VAL-001</w:t>
            </w:r>
          </w:p>
        </w:tc>
        <w:tc>
          <w:tcPr/>
          <w:p>
            <w:pPr>
              <w:pStyle w:val="Compact"/>
            </w:pPr>
            <w:r>
              <w:t xml:space="preserve">Clean technology-only service</w:t>
            </w:r>
          </w:p>
        </w:tc>
        <w:tc>
          <w:tcPr/>
          <w:p>
            <w:pPr>
              <w:pStyle w:val="Compact"/>
            </w:pPr>
            <w:r>
              <w:t xml:space="preserve">PASS/CONDITIONAL only after recorded applicability determination and human approval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TSP-VAL-002</w:t>
            </w:r>
          </w:p>
        </w:tc>
        <w:tc>
          <w:tcPr/>
          <w:p>
            <w:pPr>
              <w:pStyle w:val="Compact"/>
            </w:pPr>
            <w:r>
              <w:t xml:space="preserve">Recurring activity the bank performs/can perform itself</w:t>
            </w:r>
          </w:p>
        </w:tc>
        <w:tc>
          <w:tcPr/>
          <w:p>
            <w:pPr>
              <w:pStyle w:val="Compact"/>
            </w:pPr>
            <w:r>
              <w:t xml:space="preserve">Outsourcing review REQUIRED; SaaS/API label cannot suppress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TSP-VAL-003</w:t>
            </w:r>
          </w:p>
        </w:tc>
        <w:tc>
          <w:tcPr/>
          <w:p>
            <w:pPr>
              <w:pStyle w:val="Compact"/>
            </w:pPr>
            <w:r>
              <w:t xml:space="preserve">Critical outsourcing without customer NOC state</w:t>
            </w:r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TSP-VAL-004</w:t>
            </w:r>
          </w:p>
        </w:tc>
        <w:tc>
          <w:tcPr/>
          <w:p>
            <w:pPr>
              <w:pStyle w:val="Compact"/>
            </w:pPr>
            <w:r>
              <w:t xml:space="preserve">Incomplete/expired due diligence</w:t>
            </w:r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TSP-VAL-005</w:t>
            </w:r>
          </w:p>
        </w:tc>
        <w:tc>
          <w:tcPr/>
          <w:p>
            <w:pPr>
              <w:pStyle w:val="Compact"/>
            </w:pPr>
            <w:r>
              <w:t xml:space="preserve">Foreign provider/access barrier</w:t>
            </w:r>
          </w:p>
        </w:tc>
        <w:tc>
          <w:tcPr/>
          <w:p>
            <w:pPr>
              <w:pStyle w:val="Compact"/>
            </w:pPr>
            <w:r>
              <w:t xml:space="preserve">BLOCKED where applicable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TSP-VAL-006</w:t>
            </w:r>
          </w:p>
        </w:tc>
        <w:tc>
          <w:tcPr/>
          <w:p>
            <w:pPr>
              <w:pStyle w:val="Compact"/>
            </w:pPr>
            <w:r>
              <w:t xml:space="preserve">Unapproved subprocessor change</w:t>
            </w:r>
          </w:p>
        </w:tc>
        <w:tc>
          <w:tcPr/>
          <w:p>
            <w:pPr>
              <w:pStyle w:val="Compact"/>
            </w:pPr>
            <w:r>
              <w:t xml:space="preserve">BLOCKED or SUSPENDED according to 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TSP-VAL-007</w:t>
            </w:r>
          </w:p>
        </w:tc>
        <w:tc>
          <w:tcPr/>
          <w:p>
            <w:pPr>
              <w:pStyle w:val="Compact"/>
            </w:pPr>
            <w:r>
              <w:t xml:space="preserve">Material incident/adverse development</w:t>
            </w:r>
          </w:p>
        </w:tc>
        <w:tc>
          <w:tcPr/>
          <w:p>
            <w:pPr>
              <w:pStyle w:val="Compact"/>
            </w:pPr>
            <w:r>
              <w:t xml:space="preserve">Escalation + review + notification state + immutable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TSP-VAL-008</w:t>
            </w:r>
          </w:p>
        </w:tc>
        <w:tc>
          <w:tcPr/>
          <w:p>
            <w:pPr>
              <w:pStyle w:val="Compact"/>
            </w:pPr>
            <w:r>
              <w:t xml:space="preserve">Exit/continuity/data return/destruction</w:t>
            </w:r>
          </w:p>
        </w:tc>
        <w:tc>
          <w:tcPr/>
          <w:p>
            <w:pPr>
              <w:pStyle w:val="Compact"/>
            </w:pPr>
            <w:r>
              <w:t xml:space="preserve">Cannot close until all exit states and evidence are complete</w:t>
            </w:r>
          </w:p>
        </w:tc>
      </w:tr>
    </w:tbl>
    <w:p>
      <w:pPr>
        <w:pStyle w:val="FirstParagraph"/>
      </w:pPr>
      <w:r>
        <w:t xml:space="preserve">No scenario may declare legal applicability by itself; the scenario validates that the platform enforces the approved control outcome.</w:t>
      </w:r>
    </w:p>
    <w:p>
      <w:pPr>
        <w:pStyle w:val="Heading2"/>
      </w:pPr>
      <w:bookmarkStart w:id="48" w:name="_5d600fdc8b607ff5c258d2f3839ca2bc375585d"/>
      <w:r>
        <w:t xml:space="preserve">13. Handoff Gate JSON Schema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"$schema"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"https://json-schema.org/draft/2020-12/schema"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"$id"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"https://hisn.local/schemas/tsp-handoff-gate-v1.1.json"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"HISN Third-Party Service Provider Handoff Gate"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"object"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"additionalProperties"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"tsp_gate_id"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"service_arrangement_name"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"customer_sector"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"customer_authority"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"service_description"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"tsp_classification"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"outsourcing_applicability"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"criticality"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"data_classification"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"data_location"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"subprocessor_status"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"regulatory_mappings"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"evidence_ids"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"owner"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"human_approver"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"unknown_or_blocked_items"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"repository_sha"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"environment"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"status"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"properties"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"tsp_gate_id"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"minLength"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"service_arrangement_name"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"minLength"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"customer_sector"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"minLength"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"customer_authority"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"minLength"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"service_description"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"minLength"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"tsp_classification"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"enum"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"THIRD_PARTY_SERVICE_PROVIDER"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"TECHNOLOGY_SERVICE"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</w:t>
      </w:r>
      <w:r>
        <w:rPr>
          <w:rStyle w:val="StringTok"/>
        </w:rPr>
        <w:t xml:space="preserve">"NON_CRITICAL_OUTSOURCING"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"CRITICAL_OUTSOURCING"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"UNKNOWN"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"outsourcing_applicability"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"enum"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"APPLIES"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"DOES_NOT_APPLY"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"REQUIRES_LEGAL_REVIEW"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"UNKNOWN"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"criticality"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"enum"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"CRITICAL"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"NON_CRITICAL"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"NOT_APPLICABLE"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"UNKNOWN"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"data_classification"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"minLength"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"data_location"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"object"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"additionalProperties"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"required"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"countries"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"cross_border_transfer"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"properties"</w:t>
      </w:r>
      <w:r>
        <w:rPr>
          <w:rStyle w:val="FunctionTok"/>
        </w:rPr>
        <w:t xml:space="preserve">:{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"countries"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"array"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"items"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},</w:t>
      </w:r>
      <w:r>
        <w:rPr>
          <w:rStyle w:val="DataTypeTok"/>
        </w:rPr>
        <w:t xml:space="preserve">"minItems"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"cross_border_transfer"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"boolean"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"subprocessor_status"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"enum"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"NONE"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"APPROVED"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"PENDING_APPROVAL"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"UNKNOWN"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"regulatory_mappings"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"array"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"items"</w:t>
      </w:r>
      <w:r>
        <w:rPr>
          <w:rStyle w:val="FunctionTok"/>
        </w:rPr>
        <w:t xml:space="preserve">:{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"object"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"additionalProperties"</w:t>
      </w:r>
      <w:r>
        <w:rPr>
          <w:rStyle w:val="FunctionTok"/>
        </w:rPr>
        <w:t xml:space="preserve">: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"required"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"authority"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"reference"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"status"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"properties"</w:t>
      </w:r>
      <w:r>
        <w:rPr>
          <w:rStyle w:val="FunctionTok"/>
        </w:rPr>
        <w:t xml:space="preserve">:{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"authority"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"reference"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"enum"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"APPLICABLE"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"NOT_APPLICABLE"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"REQUIRES_REVIEW"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"UNKNOWN"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"evidence_ids"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"array"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"items"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},</w:t>
      </w:r>
      <w:r>
        <w:rPr>
          <w:rStyle w:val="DataTypeTok"/>
        </w:rPr>
        <w:t xml:space="preserve">"minItems"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"owner"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"minLength"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"human_approver"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"minLength"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"unknown_or_blocked_items"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"array"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"items"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}},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"repository_sha"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"minLength"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7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"environment"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"string"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"minLength"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"enum"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"PASS"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"CONDITIONAL"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"BLOCKED"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"conditional_expiry"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"string"</w:t>
      </w:r>
      <w:r>
        <w:rPr>
          <w:rStyle w:val="OtherTok"/>
        </w:rPr>
        <w:t xml:space="preserve">,</w:t>
      </w:r>
      <w:r>
        <w:rPr>
          <w:rStyle w:val="StringTok"/>
        </w:rPr>
        <w:t xml:space="preserve">"null"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"date-time"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Rule: missing required field = BLOCKED. CONDITIONAL requires compensating controls, named owner, human approval and expiry.</w:t>
      </w:r>
    </w:p>
    <w:p>
      <w:pPr>
        <w:pStyle w:val="Heading2"/>
      </w:pPr>
      <w:bookmarkStart w:id="49" w:name="_cdb8b859d57941cde5d68637cf84e2955985174"/>
      <w:r>
        <w:t xml:space="preserve">2026-10-07 release note</w:t>
      </w:r>
    </w:p>
    <w:p>
      <w:pPr>
        <w:pStyle w:val="FirstParagraph"/>
      </w:pPr>
      <w:r>
        <w:t xml:space="preserve">This schema is design-only while the production release freeze remains active.</w:t>
      </w:r>
    </w:p>
    <w:p>
      <w:pPr>
        <w:pStyle w:val="Heading2"/>
      </w:pPr>
      <w:bookmarkStart w:id="50" w:name="_4d23904a42eeef197a874146c9079ab3e6bcbe8"/>
      <w:r>
        <w:t xml:space="preserve">14. Platform invariants</w:t>
      </w:r>
    </w:p>
    <w:p>
      <w:pPr>
        <w:pStyle w:val="FirstParagraph"/>
      </w:pPr>
      <w:r>
        <w:t xml:space="preserve">The mandatory code-review invariants are frozen in:</w:t>
      </w:r>
    </w:p>
    <w:p>
      <w:pPr>
        <w:pStyle w:val="BodyText"/>
      </w:pPr>
      <w:r>
        <w:rPr>
          <w:rStyle w:val="VerbatimChar"/>
        </w:rPr>
        <w:t xml:space="preserve">HISN_TSP_PLATFORM_INVARIANTS.md</w:t>
      </w:r>
    </w:p>
    <w:p>
      <w:pPr>
        <w:pStyle w:val="BodyText"/>
      </w:pPr>
      <w:r>
        <w:t xml:space="preserve">They are also mandatory in contributor workflow through:</w:t>
      </w:r>
    </w:p>
    <w:p>
      <w:pPr>
        <w:pStyle w:val="BodyText"/>
      </w:pPr>
      <w:r>
        <w:rPr>
          <w:rStyle w:val="VerbatimChar"/>
        </w:rPr>
        <w:t xml:space="preserve">CONTRIBUTING.md</w:t>
      </w:r>
    </w:p>
    <w:p>
      <w:pPr>
        <w:pStyle w:val="BodyText"/>
      </w:pPr>
      <w:r>
        <w:t xml:space="preserve">Critical rules:</w:t>
      </w:r>
    </w:p>
    <w:p>
      <w:pPr>
        <w:pStyle w:val="Compact"/>
        <w:numPr>
          <w:ilvl w:val="0"/>
          <w:numId w:val="1003"/>
        </w:numPr>
      </w:pPr>
      <w:r>
        <w:t xml:space="preserve">no TSP runtime during release freeze without Release Admission;</w:t>
      </w:r>
    </w:p>
    <w:p>
      <w:pPr>
        <w:pStyle w:val="Compact"/>
        <w:numPr>
          <w:ilvl w:val="0"/>
          <w:numId w:val="1003"/>
        </w:numPr>
      </w:pPr>
      <w:r>
        <w:t xml:space="preserve">no migration before RLS policy review;</w:t>
      </w:r>
    </w:p>
    <w:p>
      <w:pPr>
        <w:pStyle w:val="Compact"/>
        <w:numPr>
          <w:ilvl w:val="0"/>
          <w:numId w:val="1003"/>
        </w:numPr>
      </w:pPr>
      <w:r>
        <w:t xml:space="preserve">no API before evidence binding;</w:t>
      </w:r>
    </w:p>
    <w:p>
      <w:pPr>
        <w:pStyle w:val="Compact"/>
        <w:numPr>
          <w:ilvl w:val="0"/>
          <w:numId w:val="1003"/>
        </w:numPr>
      </w:pPr>
      <w:r>
        <w:t xml:space="preserve">no seventh DecisionEngine;</w:t>
      </w:r>
    </w:p>
    <w:p>
      <w:pPr>
        <w:pStyle w:val="Compact"/>
        <w:numPr>
          <w:ilvl w:val="0"/>
          <w:numId w:val="1003"/>
        </w:numPr>
      </w:pPr>
      <w:r>
        <w:t xml:space="preserve">no duplicate evidence/audit/IAM/RLS;</w:t>
      </w:r>
    </w:p>
    <w:p>
      <w:pPr>
        <w:pStyle w:val="Compact"/>
        <w:numPr>
          <w:ilvl w:val="0"/>
          <w:numId w:val="1003"/>
        </w:numPr>
      </w:pPr>
      <w:r>
        <w:t xml:space="preserve">UNKNOWN/BLOCKED mandatory controls fail closed;</w:t>
      </w:r>
    </w:p>
    <w:p>
      <w:pPr>
        <w:pStyle w:val="Compact"/>
        <w:numPr>
          <w:ilvl w:val="0"/>
          <w:numId w:val="1003"/>
        </w:numPr>
      </w:pPr>
      <w:r>
        <w:t xml:space="preserve">exact-head regression follows material implementation.</w:t>
      </w:r>
    </w:p>
    <w:p>
      <w:pPr>
        <w:pStyle w:val="Heading2"/>
      </w:pPr>
      <w:bookmarkStart w:id="51" w:name="_9ec6e993467a243bfbe8721cb23c4021aea1c75"/>
      <w:r>
        <w:t xml:space="preserve">15. SAMA Article → acceptance authority</w:t>
      </w:r>
    </w:p>
    <w:p>
      <w:pPr>
        <w:pStyle w:val="FirstParagraph"/>
      </w:pPr>
      <w:r>
        <w:t xml:space="preserve">The detailed article-to-test matrix is frozen in:</w:t>
      </w:r>
    </w:p>
    <w:p>
      <w:pPr>
        <w:pStyle w:val="BodyText"/>
      </w:pPr>
      <w:r>
        <w:rPr>
          <w:rStyle w:val="VerbatimChar"/>
        </w:rPr>
        <w:t xml:space="preserve">docs/architecture/regulatory/HISN_TSP_ACCEPTANCE_MATRIX.md</w:t>
      </w:r>
    </w:p>
    <w:p>
      <w:pPr>
        <w:pStyle w:val="BodyText"/>
      </w:pPr>
      <w:r>
        <w:t xml:space="preserve">The matrix covers Articles 15–40 individually and defines TSP-ARCH, TSP-RLS, TSP-DOM, TSP-CTRL, TSP-API, TSP-EVD, TSP-VAL and TSP-REL test families.</w:t>
      </w:r>
    </w:p>
    <w:p>
      <w:pPr>
        <w:pStyle w:val="Heading2"/>
      </w:pPr>
      <w:bookmarkStart w:id="52" w:name="_430dc01cdcd9519fc1d45065f72b0fd8e0fce0d"/>
      <w:r>
        <w:t xml:space="preserve">16. Release Admission boundary</w:t>
      </w:r>
    </w:p>
    <w:p>
      <w:pPr>
        <w:pStyle w:val="FirstParagraph"/>
      </w:pPr>
      <w:r>
        <w:t xml:space="preserve">This contract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open runtime implementation.</w:t>
      </w:r>
    </w:p>
    <w:p>
      <w:pPr>
        <w:pStyle w:val="BodyText"/>
      </w:pPr>
      <w:r>
        <w:t xml:space="preserve">Runtime activation remains BLOCKED until:</w:t>
      </w:r>
    </w:p>
    <w:p>
      <w:pPr>
        <w:pStyle w:val="Compact"/>
        <w:numPr>
          <w:ilvl w:val="0"/>
          <w:numId w:val="1004"/>
        </w:numPr>
      </w:pPr>
      <w:r>
        <w:t xml:space="preserve">production Release Admission is granted;</w:t>
      </w:r>
    </w:p>
    <w:p>
      <w:pPr>
        <w:pStyle w:val="Compact"/>
        <w:numPr>
          <w:ilvl w:val="0"/>
          <w:numId w:val="1004"/>
        </w:numPr>
      </w:pPr>
      <w:r>
        <w:t xml:space="preserve">Architecture Bible contract is merged;</w:t>
      </w:r>
    </w:p>
    <w:p>
      <w:pPr>
        <w:pStyle w:val="Compact"/>
        <w:numPr>
          <w:ilvl w:val="0"/>
          <w:numId w:val="1004"/>
        </w:numPr>
      </w:pPr>
      <w:r>
        <w:t xml:space="preserve">v1.1 is the accepted canonical implementation contract;</w:t>
      </w:r>
    </w:p>
    <w:p>
      <w:pPr>
        <w:pStyle w:val="Compact"/>
        <w:numPr>
          <w:ilvl w:val="0"/>
          <w:numId w:val="1004"/>
        </w:numPr>
      </w:pPr>
      <w:r>
        <w:t xml:space="preserve">migration/RLS review is completed;</w:t>
      </w:r>
    </w:p>
    <w:p>
      <w:pPr>
        <w:pStyle w:val="Compact"/>
        <w:numPr>
          <w:ilvl w:val="0"/>
          <w:numId w:val="1004"/>
        </w:numPr>
      </w:pPr>
      <w:r>
        <w:t xml:space="preserve">implementation PR contains all required test families;</w:t>
      </w:r>
    </w:p>
    <w:p>
      <w:pPr>
        <w:pStyle w:val="Compact"/>
        <w:numPr>
          <w:ilvl w:val="0"/>
          <w:numId w:val="1004"/>
        </w:numPr>
      </w:pPr>
      <w:r>
        <w:t xml:space="preserve">exact-head regression proves the final head;</w:t>
      </w:r>
    </w:p>
    <w:p>
      <w:pPr>
        <w:pStyle w:val="Compact"/>
        <w:numPr>
          <w:ilvl w:val="0"/>
          <w:numId w:val="1004"/>
        </w:numPr>
      </w:pPr>
      <w:r>
        <w:t xml:space="preserve">target production gaps remain separately evidenced.</w:t>
      </w:r>
    </w:p>
    <w:p>
      <w:pPr>
        <w:pStyle w:val="Heading2"/>
      </w:pPr>
      <w:bookmarkStart w:id="53" w:name="_b4355295938a5c70cab05cc66edf3a3d0c08352"/>
      <w:r>
        <w:t xml:space="preserve">17. Acceptance command contract</w:t>
      </w:r>
    </w:p>
    <w:p>
      <w:pPr>
        <w:pStyle w:val="FirstParagraph"/>
      </w:pPr>
      <w:r>
        <w:t xml:space="preserve">The implementation PR must record exact commands/results for:</w:t>
      </w:r>
    </w:p>
    <w:p>
      <w:pPr>
        <w:pStyle w:val="SourceCode"/>
      </w:pPr>
      <w:r>
        <w:rPr>
          <w:rStyle w:val="ExtensionTok"/>
        </w:rPr>
        <w:t xml:space="preserve">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tests/tsp/</w:t>
      </w:r>
      <w:r>
        <w:br/>
      </w:r>
      <w:r>
        <w:rPr>
          <w:rStyle w:val="ExtensionTok"/>
        </w:rPr>
        <w:t xml:space="preserve">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tests/test_tenant_rls.py</w:t>
      </w:r>
      <w:r>
        <w:br/>
      </w:r>
      <w:r>
        <w:rPr>
          <w:rStyle w:val="ExtensionTok"/>
        </w:rPr>
        <w:t xml:space="preserve">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tests/test_tenant_isolation_acceptance.py</w:t>
      </w:r>
      <w:r>
        <w:br/>
      </w:r>
      <w:r>
        <w:rPr>
          <w:rStyle w:val="ExtensionTok"/>
        </w:rPr>
        <w:t xml:space="preserve">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</w:p>
    <w:p>
      <w:pPr>
        <w:pStyle w:val="FirstParagraph"/>
      </w:pPr>
      <w:r>
        <w:t xml:space="preserve">The final assurance record must show the exact TSP implementation SHA. Historical 892/892, 903/903 or any other prior regression count must not be reused after a material TSP runtime change.</w:t>
      </w:r>
    </w:p>
    <w:p>
      <w:pPr>
        <w:pStyle w:val="Heading2"/>
      </w:pPr>
      <w:bookmarkStart w:id="54" w:name="_f76ee31c188a42b9c363ea16ebd06a3d61fe165"/>
      <w:r>
        <w:t xml:space="preserve">18. Forbidden implementation shortcuts</w:t>
      </w:r>
    </w:p>
    <w:p>
      <w:pPr>
        <w:pStyle w:val="Compact"/>
        <w:numPr>
          <w:ilvl w:val="0"/>
          <w:numId w:val="1005"/>
        </w:numPr>
      </w:pPr>
      <w:r>
        <w:t xml:space="preserve">No migration first / RLS later.</w:t>
      </w:r>
    </w:p>
    <w:p>
      <w:pPr>
        <w:pStyle w:val="Compact"/>
        <w:numPr>
          <w:ilvl w:val="0"/>
          <w:numId w:val="1005"/>
        </w:numPr>
      </w:pPr>
      <w:r>
        <w:t xml:space="preserve">No endpoint first / evidence later.</w:t>
      </w:r>
    </w:p>
    <w:p>
      <w:pPr>
        <w:pStyle w:val="Compact"/>
        <w:numPr>
          <w:ilvl w:val="0"/>
          <w:numId w:val="1005"/>
        </w:numPr>
      </w:pPr>
      <w:r>
        <w:t xml:space="preserve">No UI first / domain proof later.</w:t>
      </w:r>
    </w:p>
    <w:p>
      <w:pPr>
        <w:pStyle w:val="Compact"/>
        <w:numPr>
          <w:ilvl w:val="0"/>
          <w:numId w:val="1005"/>
        </w:numPr>
      </w:pPr>
      <w:r>
        <w:t xml:space="preserve">No new entity to solve a missing field.</w:t>
      </w:r>
    </w:p>
    <w:p>
      <w:pPr>
        <w:pStyle w:val="Compact"/>
        <w:numPr>
          <w:ilvl w:val="0"/>
          <w:numId w:val="1005"/>
        </w:numPr>
      </w:pPr>
      <w:r>
        <w:t xml:space="preserve">No provider-specific legal logic in a TSP validation fixture.</w:t>
      </w:r>
    </w:p>
    <w:p>
      <w:pPr>
        <w:pStyle w:val="Compact"/>
        <w:numPr>
          <w:ilvl w:val="0"/>
          <w:numId w:val="1005"/>
        </w:numPr>
      </w:pPr>
      <w:r>
        <w:t xml:space="preserve">No admin-access shortcut for regulatory access.</w:t>
      </w:r>
    </w:p>
    <w:p>
      <w:pPr>
        <w:pStyle w:val="Compact"/>
        <w:numPr>
          <w:ilvl w:val="0"/>
          <w:numId w:val="1005"/>
        </w:numPr>
      </w:pPr>
      <w:r>
        <w:t xml:space="preserve">No document-only PASS.</w:t>
      </w:r>
    </w:p>
    <w:p>
      <w:pPr>
        <w:pStyle w:val="Compact"/>
        <w:numPr>
          <w:ilvl w:val="0"/>
          <w:numId w:val="1005"/>
        </w:numPr>
      </w:pPr>
      <w:r>
        <w:t xml:space="preserve">No production-readiness claim from local unit tests alone.</w:t>
      </w:r>
    </w:p>
    <w:p>
      <w:pPr>
        <w:pStyle w:val="Heading2"/>
      </w:pPr>
      <w:bookmarkStart w:id="55" w:name="_2a35e5307e56e95a97cc87831df7a5530f1f9c8"/>
      <w:r>
        <w:t xml:space="preserve">19. Cross-sector extensibility</w:t>
      </w:r>
    </w:p>
    <w:p>
      <w:pPr>
        <w:pStyle w:val="FirstParagraph"/>
      </w:pPr>
      <w:r>
        <w:t xml:space="preserve">The TSP Core remains sector-neutral. Future overlays are attached without creating new provider/evidence/audit SSOTs:</w:t>
      </w:r>
    </w:p>
    <w:p>
      <w:pPr>
        <w:pStyle w:val="SourceCode"/>
      </w:pPr>
      <w:r>
        <w:rPr>
          <w:rStyle w:val="VerbatimChar"/>
        </w:rPr>
        <w:t xml:space="preserve">TSP CORE</w:t>
      </w:r>
      <w:r>
        <w:br/>
      </w:r>
      <w:r>
        <w:rPr>
          <w:rStyle w:val="VerbatimChar"/>
        </w:rPr>
        <w:t xml:space="preserve"> + SAMA Banking</w:t>
      </w:r>
      <w:r>
        <w:br/>
      </w:r>
      <w:r>
        <w:rPr>
          <w:rStyle w:val="VerbatimChar"/>
        </w:rPr>
        <w:t xml:space="preserve"> + SAMA Finance</w:t>
      </w:r>
      <w:r>
        <w:br/>
      </w:r>
      <w:r>
        <w:rPr>
          <w:rStyle w:val="VerbatimChar"/>
        </w:rPr>
        <w:t xml:space="preserve"> + Insurance</w:t>
      </w:r>
      <w:r>
        <w:br/>
      </w:r>
      <w:r>
        <w:rPr>
          <w:rStyle w:val="VerbatimChar"/>
        </w:rPr>
        <w:t xml:space="preserve"> + Exchange / Remittance</w:t>
      </w:r>
      <w:r>
        <w:br/>
      </w:r>
      <w:r>
        <w:rPr>
          <w:rStyle w:val="VerbatimChar"/>
        </w:rPr>
        <w:t xml:space="preserve"> + CMA</w:t>
      </w:r>
      <w:r>
        <w:br/>
      </w:r>
      <w:r>
        <w:rPr>
          <w:rStyle w:val="VerbatimChar"/>
        </w:rPr>
        <w:t xml:space="preserve"> + NCA / Cybersecurity</w:t>
      </w:r>
      <w:r>
        <w:br/>
      </w:r>
      <w:r>
        <w:rPr>
          <w:rStyle w:val="VerbatimChar"/>
        </w:rPr>
        <w:t xml:space="preserve"> + PDPL / Privacy</w:t>
      </w:r>
      <w:r>
        <w:br/>
      </w:r>
      <w:r>
        <w:rPr>
          <w:rStyle w:val="VerbatimChar"/>
        </w:rPr>
        <w:t xml:space="preserve"> + Customer Contract</w:t>
      </w:r>
    </w:p>
    <w:p>
      <w:pPr>
        <w:pStyle w:val="FirstParagraph"/>
      </w:pPr>
      <w:r>
        <w:t xml:space="preserve">Banking is the first executable overlay; other overlays remain design-only until separately approved.</w:t>
      </w:r>
    </w:p>
    <w:p>
      <w:pPr>
        <w:pStyle w:val="Heading2"/>
      </w:pPr>
      <w:bookmarkStart w:id="56" w:name="_6f9fd8fcb77a95057ad8521425b385afb4cad4d"/>
      <w:r>
        <w:t xml:space="preserve">20. Non-certification</w:t>
      </w:r>
    </w:p>
    <w:p>
      <w:pPr>
        <w:pStyle w:val="FirstParagraph"/>
      </w:pPr>
      <w:r>
        <w:t xml:space="preserve">This contract is an engineering/control artifact. It is not legal advice, SAMA approval, certification, or a customer-specific legal determination.</w:t>
      </w:r>
    </w:p>
    <w:p>
      <w:pPr>
        <w:pStyle w:val="BodyText"/>
      </w:pPr>
      <w:r>
        <w:rPr>
          <w:b/>
          <w:bCs/>
        </w:rPr>
        <w:t xml:space="preserve">Official regulatory source:</w:t>
      </w:r>
      <w:r>
        <w:t xml:space="preserve"> </w:t>
      </w:r>
      <w:r>
        <w:t xml:space="preserve">SAMA Rulebook, Rules on Outsourcing, Circular 41027017 dated 2019-12-15.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TSP CONTROL PLANE IMPLEMENTATION CONTRACT v1.1</dc:title>
  <dc:creator>HISN Platform</dc:creator>
  <cp:keywords>HISN, FCDOS, financial crime, decision operating system</cp:keywords>
  <dcterms:created xsi:type="dcterms:W3CDTF">2026-10-13T12:57:02Z</dcterms:created>
  <dcterms:modified xsi:type="dcterms:W3CDTF">2026-10-13T12:57:02Z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