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99d05e80347311bd895bf790201239b1251130d"/>
      <w:r>
        <w:t xml:space="preserve">HISN TSP Runtime Integration Blocker — 2026-10-11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Original source-branch blocker resolved at code level by merged PR #205; target-runtime activation remains blocked pending operational evidence.</w:t>
      </w:r>
      <w:r>
        <w:br/>
      </w:r>
      <w:r>
        <w:rPr>
          <w:b/>
          <w:bCs/>
        </w:rPr>
        <w:t xml:space="preserve">Target:</w:t>
      </w:r>
      <w:r>
        <w:t xml:space="preserve"> </w:t>
      </w:r>
      <w:r>
        <w:rPr>
          <w:rStyle w:val="VerbatimChar"/>
        </w:rPr>
        <w:t xml:space="preserve">feat/tsp-control-plane-runtime-synced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292d749dfcc12f7ccc2a48f9acd1a630b372e691</w:t>
      </w:r>
      <w:r>
        <w:br/>
      </w:r>
      <w:r>
        <w:rPr>
          <w:b/>
          <w:bCs/>
        </w:rPr>
        <w:t xml:space="preserve">Authority:</w:t>
      </w:r>
      <w:r>
        <w:t xml:space="preserve"> </w:t>
      </w:r>
      <w:r>
        <w:t xml:space="preserve">Current-main source, proposed migration 213, repository SQL calls, and contract v1.1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Integration correctness only; this is not a SAMA compliance or operational acceptance statement.</w:t>
      </w:r>
    </w:p>
    <w:p>
      <w:pPr>
        <w:pStyle w:val="Heading2"/>
      </w:pPr>
      <w:bookmarkStart w:id="10" w:name="_decision"/>
      <w:r>
        <w:t xml:space="preserve">1. Decision</w:t>
      </w:r>
    </w:p>
    <w:p>
      <w:pPr>
        <w:pStyle w:val="FirstParagraph"/>
      </w:pPr>
      <w:r>
        <w:t xml:space="preserve">The TSP design and acceptance knowledge are retained in the canonical repository. The runtime implementation is</w:t>
      </w:r>
      <w:r>
        <w:t xml:space="preserve"> </w:t>
      </w:r>
      <w:r>
        <w:rPr>
          <w:b/>
          <w:bCs/>
        </w:rPr>
        <w:t xml:space="preserve">not promoted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by this consolidation because the service/repository SQL contract does not match migration 213. Merging it as-is would create an API that cannot persist reliably and would violate the branch’s own v1.1 rule that runtime activation remains blocked until migration/RLS review and exact-head regression.</w:t>
      </w:r>
    </w:p>
    <w:p>
      <w:pPr>
        <w:pStyle w:val="Heading2"/>
      </w:pPr>
      <w:bookmarkStart w:id="11" w:name="_1c6e1c3d68a1b76934ddfa152d61be3cd2c4c8c"/>
      <w:r>
        <w:t xml:space="preserve">2. Confirmed mismatch in the original feature branch</w:t>
      </w:r>
    </w:p>
    <w:p>
      <w:pPr>
        <w:pStyle w:val="FirstParagraph"/>
      </w:pPr>
      <w:r>
        <w:t xml:space="preserve">The findings below describe the original feature branch at the SHA recorded above, and remain a historical explanation of why it was not merged as-is. PR #205 ports the TSP runtime to the current-main lineage and merged the canonical schema/repository alignment. Its exact head passed the canonical assurance workflow, including the disposable PostgreSQL migration chain; this is code-level evidence, not production readiness.</w:t>
      </w:r>
    </w:p>
    <w:p>
      <w:pPr>
        <w:pStyle w:val="BodyText"/>
      </w:pPr>
      <w:r>
        <w:t xml:space="preserve">Migration</w:t>
      </w:r>
      <w:r>
        <w:t xml:space="preserve"> </w:t>
      </w:r>
      <w:r>
        <w:rPr>
          <w:rStyle w:val="VerbatimChar"/>
        </w:rPr>
        <w:t xml:space="preserve">database/schema/20-application/213_third_party_service_provider.sql</w:t>
      </w:r>
      <w:r>
        <w:t xml:space="preserve"> </w:t>
      </w:r>
      <w:r>
        <w:t xml:space="preserve">creates 17 tables under the</w:t>
      </w:r>
      <w:r>
        <w:t xml:space="preserve"> </w:t>
      </w:r>
      <w:r>
        <w:rPr>
          <w:rStyle w:val="VerbatimChar"/>
        </w:rPr>
        <w:t xml:space="preserve">hisn.third_party_*</w:t>
      </w:r>
      <w:r>
        <w:t xml:space="preserve"> </w:t>
      </w:r>
      <w:r>
        <w:t xml:space="preserve">namespace, including: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hisn.third_party_providers</w:t>
      </w:r>
      <w:r>
        <w:t xml:space="preserve"> </w:t>
      </w:r>
      <w:r>
        <w:t xml:space="preserve">with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and required</w:t>
      </w:r>
      <w:r>
        <w:t xml:space="preserve"> </w:t>
      </w:r>
      <w:r>
        <w:rPr>
          <w:rStyle w:val="VerbatimChar"/>
        </w:rPr>
        <w:t xml:space="preserve">evidence_id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hisn.third_party_relationships</w:t>
      </w:r>
      <w:r>
        <w:t xml:space="preserve"> </w:t>
      </w:r>
      <w:r>
        <w:t xml:space="preserve">with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, normalized classification/criticality records elsewhere, and required</w:t>
      </w:r>
      <w:r>
        <w:t xml:space="preserve"> </w:t>
      </w:r>
      <w:r>
        <w:rPr>
          <w:rStyle w:val="VerbatimChar"/>
        </w:rPr>
        <w:t xml:space="preserve">evidence_id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separate canonical tables for classifications, risk, criticality, contract controls, continuity, regulatory access and reviews;</w:t>
      </w:r>
    </w:p>
    <w:p>
      <w:pPr>
        <w:pStyle w:val="Compact"/>
        <w:numPr>
          <w:ilvl w:val="0"/>
          <w:numId w:val="1001"/>
        </w:numPr>
      </w:pPr>
      <w:r>
        <w:t xml:space="preserve">tenant-bound rows with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,</w:t>
      </w:r>
      <w:r>
        <w:t xml:space="preserve"> </w:t>
      </w:r>
      <w:r>
        <w:rPr>
          <w:rStyle w:val="VerbatimChar"/>
        </w:rPr>
        <w:t xml:space="preserve">evidence_id</w:t>
      </w:r>
      <w:r>
        <w:t xml:space="preserve">, and RLS policies.</w:t>
      </w:r>
    </w:p>
    <w:p>
      <w:pPr>
        <w:pStyle w:val="FirstParagraph"/>
      </w:pPr>
      <w:r>
        <w:t xml:space="preserve">The application repository</w:t>
      </w:r>
      <w:r>
        <w:t xml:space="preserve"> </w:t>
      </w:r>
      <w:r>
        <w:rPr>
          <w:rStyle w:val="VerbatimChar"/>
        </w:rPr>
        <w:t xml:space="preserve">src/platform/third_party_service_provider/repository.py</w:t>
      </w:r>
      <w:r>
        <w:t xml:space="preserve"> </w:t>
      </w:r>
      <w:r>
        <w:t xml:space="preserve">instead writes to a different nine-table set:</w:t>
      </w:r>
    </w:p>
    <w:p>
      <w:pPr>
        <w:pStyle w:val="SourceCode"/>
      </w:pPr>
      <w:r>
        <w:rPr>
          <w:rStyle w:val="VerbatimChar"/>
        </w:rPr>
        <w:t xml:space="preserve">hisn.tsp_providers</w:t>
      </w:r>
      <w:r>
        <w:br/>
      </w:r>
      <w:r>
        <w:rPr>
          <w:rStyle w:val="VerbatimChar"/>
        </w:rPr>
        <w:t xml:space="preserve">hisn.tsp_relationships</w:t>
      </w:r>
      <w:r>
        <w:br/>
      </w:r>
      <w:r>
        <w:rPr>
          <w:rStyle w:val="VerbatimChar"/>
        </w:rPr>
        <w:t xml:space="preserve">hisn.tsp_services</w:t>
      </w:r>
      <w:r>
        <w:br/>
      </w:r>
      <w:r>
        <w:rPr>
          <w:rStyle w:val="VerbatimChar"/>
        </w:rPr>
        <w:t xml:space="preserve">hisn.tsp_assessments</w:t>
      </w:r>
      <w:r>
        <w:br/>
      </w:r>
      <w:r>
        <w:rPr>
          <w:rStyle w:val="VerbatimChar"/>
        </w:rPr>
        <w:t xml:space="preserve">hisn.tsp_due_diligence</w:t>
      </w:r>
      <w:r>
        <w:br/>
      </w:r>
      <w:r>
        <w:rPr>
          <w:rStyle w:val="VerbatimChar"/>
        </w:rPr>
        <w:t xml:space="preserve">hisn.tsp_contracts</w:t>
      </w:r>
      <w:r>
        <w:br/>
      </w:r>
      <w:r>
        <w:rPr>
          <w:rStyle w:val="VerbatimChar"/>
        </w:rPr>
        <w:t xml:space="preserve">hisn.tsp_exit_plans</w:t>
      </w:r>
      <w:r>
        <w:br/>
      </w:r>
      <w:r>
        <w:rPr>
          <w:rStyle w:val="VerbatimChar"/>
        </w:rPr>
        <w:t xml:space="preserve">hisn.tsp_subprocessors</w:t>
      </w:r>
      <w:r>
        <w:br/>
      </w:r>
      <w:r>
        <w:rPr>
          <w:rStyle w:val="VerbatimChar"/>
        </w:rPr>
        <w:t xml:space="preserve">hisn.tsp_incidents</w:t>
      </w:r>
    </w:p>
    <w:p>
      <w:pPr>
        <w:pStyle w:val="FirstParagraph"/>
      </w:pPr>
      <w:r>
        <w:t xml:space="preserve">The inserted column names also differ (for example</w:t>
      </w:r>
      <w:r>
        <w:t xml:space="preserve"> </w:t>
      </w:r>
      <w:r>
        <w:rPr>
          <w:rStyle w:val="VerbatimChar"/>
        </w:rPr>
        <w:t xml:space="preserve">provider_id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id</w:t>
      </w:r>
      <w:r>
        <w:t xml:space="preserve">), and those writes do not provide the migration’s mandatory</w:t>
      </w:r>
      <w:r>
        <w:t xml:space="preserve"> </w:t>
      </w:r>
      <w:r>
        <w:rPr>
          <w:rStyle w:val="VerbatimChar"/>
        </w:rPr>
        <w:t xml:space="preserve">evidence_id</w:t>
      </w:r>
      <w:r>
        <w:t xml:space="preserve">. No matching</w:t>
      </w:r>
      <w:r>
        <w:t xml:space="preserve"> </w:t>
      </w:r>
      <w:r>
        <w:rPr>
          <w:rStyle w:val="VerbatimChar"/>
        </w:rPr>
        <w:t xml:space="preserve">tsp_*</w:t>
      </w:r>
      <w:r>
        <w:t xml:space="preserve"> </w:t>
      </w:r>
      <w:r>
        <w:t xml:space="preserve">tables are defined in migration 213. The migration/repository mismatch is therefore structural, not a documentation-only discrepancy.</w:t>
      </w:r>
    </w:p>
    <w:p>
      <w:pPr>
        <w:pStyle w:val="Heading2"/>
      </w:pPr>
      <w:bookmarkStart w:id="12" w:name="_77cc1b8355cf788dc53b318d4245e990586eba1"/>
      <w:r>
        <w:t xml:space="preserve">3. Consolidation history and current candidate</w:t>
      </w:r>
    </w:p>
    <w:p>
      <w:pPr>
        <w:pStyle w:val="Compact"/>
        <w:numPr>
          <w:ilvl w:val="0"/>
          <w:numId w:val="1002"/>
        </w:numPr>
      </w:pPr>
      <w:r>
        <w:t xml:space="preserve">The TSP v1.1 implementation contract and acceptance matrix remain canonical design/acceptance documents.</w:t>
      </w:r>
    </w:p>
    <w:p>
      <w:pPr>
        <w:pStyle w:val="Compact"/>
        <w:numPr>
          <w:ilvl w:val="0"/>
          <w:numId w:val="1002"/>
        </w:numPr>
      </w:pPr>
      <w:r>
        <w:t xml:space="preserve">The governance policy continues to distinguish source-code tests from operational/release approval.</w:t>
      </w:r>
    </w:p>
    <w:p>
      <w:pPr>
        <w:pStyle w:val="Compact"/>
        <w:numPr>
          <w:ilvl w:val="0"/>
          <w:numId w:val="1002"/>
        </w:numPr>
      </w:pPr>
      <w:r>
        <w:t xml:space="preserve">The decision-lifecycle, AML scenario coverage, and regulatory-provenance fixes are handled in the separate main-consolidation PR.</w:t>
      </w:r>
    </w:p>
    <w:p>
      <w:pPr>
        <w:pStyle w:val="Compact"/>
        <w:numPr>
          <w:ilvl w:val="0"/>
          <w:numId w:val="1002"/>
        </w:numPr>
      </w:pPr>
      <w:r>
        <w:t xml:space="preserve">The earlier main-consolidation change intentionally did not add TSP runtime code. PR #205 subsequently merged the router, repository/service package, migration 213 plus additive migration 214, least-privilege architecture registration, and schema-contract tests. Main now contains the code-level remediation at merge commit</w:t>
      </w:r>
      <w:r>
        <w:t xml:space="preserve"> </w:t>
      </w:r>
      <w:r>
        <w:rPr>
          <w:rStyle w:val="VerbatimChar"/>
        </w:rPr>
        <w:t xml:space="preserve">1ca4398d553ab0310a1306abedd97bc466023213</w:t>
      </w:r>
      <w:r>
        <w:t xml:space="preserve">.</w:t>
      </w:r>
    </w:p>
    <w:p>
      <w:pPr>
        <w:pStyle w:val="Heading2"/>
      </w:pPr>
      <w:bookmarkStart w:id="13" w:name="_b50f84bc66ba20b8d7ad0fb14f2c1f7ce8d822f"/>
      <w:r>
        <w:t xml:space="preserve">4. Remaining exit criteria for target-runtime admission</w:t>
      </w:r>
    </w:p>
    <w:p>
      <w:pPr>
        <w:pStyle w:val="Compact"/>
        <w:numPr>
          <w:ilvl w:val="0"/>
          <w:numId w:val="1003"/>
        </w:numPr>
      </w:pPr>
      <w:r>
        <w:t xml:space="preserve">Continue using one canonical</w:t>
      </w:r>
      <w:r>
        <w:t xml:space="preserve"> </w:t>
      </w:r>
      <w:r>
        <w:rPr>
          <w:rStyle w:val="VerbatimChar"/>
        </w:rPr>
        <w:t xml:space="preserve">third_party_*</w:t>
      </w:r>
      <w:r>
        <w:t xml:space="preserve"> </w:t>
      </w:r>
      <w:r>
        <w:t xml:space="preserve">persistence model; do not revive the original divergent branch or add parallel</w:t>
      </w:r>
      <w:r>
        <w:t xml:space="preserve"> </w:t>
      </w:r>
      <w:r>
        <w:rPr>
          <w:rStyle w:val="VerbatimChar"/>
        </w:rPr>
        <w:t xml:space="preserve">tsp_*</w:t>
      </w:r>
      <w:r>
        <w:t xml:space="preserve"> </w:t>
      </w:r>
      <w:r>
        <w:t xml:space="preserve">tables.</w:t>
      </w:r>
    </w:p>
    <w:p>
      <w:pPr>
        <w:pStyle w:val="Compact"/>
        <w:numPr>
          <w:ilvl w:val="0"/>
          <w:numId w:val="1003"/>
        </w:numPr>
      </w:pPr>
      <w:r>
        <w:t xml:space="preserve">Before regulated runtime activation, demonstrate real target-environment migration 213/214, current migration history/checksums, and rollback/restore evidence. CI already exercised the migration chain in a disposable PostgreSQL instance.</w:t>
      </w:r>
    </w:p>
    <w:p>
      <w:pPr>
        <w:pStyle w:val="Compact"/>
        <w:numPr>
          <w:ilvl w:val="0"/>
          <w:numId w:val="1003"/>
        </w:numPr>
      </w:pPr>
      <w:r>
        <w:t xml:space="preserve">Prove tenant A/B read and write denial against TSP rows using the actual non-superuser</w:t>
      </w:r>
      <w:r>
        <w:t xml:space="preserve"> </w:t>
      </w:r>
      <w:r>
        <w:rPr>
          <w:rStyle w:val="VerbatimChar"/>
        </w:rPr>
        <w:t xml:space="preserve">hisn_app</w:t>
      </w:r>
      <w:r>
        <w:t xml:space="preserve"> </w:t>
      </w:r>
      <w:r>
        <w:t xml:space="preserve">runtime role, not only source-contract assertions.</w:t>
      </w:r>
    </w:p>
    <w:p>
      <w:pPr>
        <w:pStyle w:val="Compact"/>
        <w:numPr>
          <w:ilvl w:val="0"/>
          <w:numId w:val="1003"/>
        </w:numPr>
      </w:pPr>
      <w:r>
        <w:t xml:space="preserve">Exercise maker-checker with concurrent requests against PostgreSQL and verify every endpoint’s authorization and auditable actor identity.</w:t>
      </w:r>
    </w:p>
    <w:p>
      <w:pPr>
        <w:pStyle w:val="Compact"/>
        <w:numPr>
          <w:ilvl w:val="0"/>
          <w:numId w:val="1003"/>
        </w:numPr>
      </w:pPr>
      <w:r>
        <w:t xml:space="preserve">Run the TSP API/e2e lifecycle on a deployment-equivalent environment and retain exact deployment SHA and immutable assurance artifacts.</w:t>
      </w:r>
    </w:p>
    <w:p>
      <w:pPr>
        <w:pStyle w:val="Compact"/>
        <w:numPr>
          <w:ilvl w:val="0"/>
          <w:numId w:val="1003"/>
        </w:numPr>
      </w:pPr>
      <w:r>
        <w:t xml:space="preserve">If any pre-existing TSP rows are present, reconcile creator/approver provenance from attributable evidence before applying migration 214; never backfill invented identities.</w:t>
      </w:r>
    </w:p>
    <w:p>
      <w:pPr>
        <w:pStyle w:val="Compact"/>
        <w:numPr>
          <w:ilvl w:val="0"/>
          <w:numId w:val="1003"/>
        </w:numPr>
      </w:pPr>
      <w:r>
        <w:t xml:space="preserve">Review the original TSP branch’s Fares-adapter/workflow deletions separately. They remain intentionally outside this merged fix because they change unrelated main boundaries.</w:t>
      </w:r>
    </w:p>
    <w:p>
      <w:pPr>
        <w:pStyle w:val="FirstParagraph"/>
      </w:pPr>
      <w:r>
        <w:rPr>
          <w:b/>
          <w:bCs/>
        </w:rPr>
        <w:t xml:space="preserve">Disposition:</w:t>
      </w:r>
      <w:r>
        <w:t xml:space="preserve"> </w:t>
      </w:r>
      <w:r>
        <w:t xml:space="preserve">The original feature branch remains unsafe to merge as-is, but its TSP schema/repository defect has been remediated in main through PR #205. Exact-head code assurance passed (966 passed, 1 skipped; 68 focused checks passed). Target-environment, operational, independent and regulatory assurance remain OPEN. No production deployment or regulator-acceptance claim is made.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TSP RUNTIME INTEGRATION BLOCKER 2026-10-11</dc:title>
  <dc:creator>HISN Platform</dc:creator>
  <cp:keywords>HISN, FCDOS, financial crime, decision operating system</cp:keywords>
  <dcterms:created xsi:type="dcterms:W3CDTF">2026-10-13T12:57:04Z</dcterms:created>
  <dcterms:modified xsi:type="dcterms:W3CDTF">2026-10-13T12:57:04Z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