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6fb6b0f9bac99aea1366ecb7402e4e183f73fc"/>
      <w:r>
        <w:t xml:space="preserve">HISN TSP Schema/Repository Alignment — 2026-10-11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Merged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 PR #205 (merge commit</w:t>
      </w:r>
      <w:r>
        <w:t xml:space="preserve"> </w:t>
      </w:r>
      <w:r>
        <w:rPr>
          <w:rStyle w:val="VerbatimChar"/>
        </w:rPr>
        <w:t xml:space="preserve">1ca4398d553ab0310a1306abedd97bc466023213</w:t>
      </w:r>
      <w:r>
        <w:t xml:space="preserve">); exact-head code assurance PASS. Production/runtime activation remains OPEN.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Structural alignment of TSP persistence with the canonical migration contract.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Migrations 213/214, repository SQL, API schemas, and tenant/evidence boundary.</w:t>
      </w:r>
    </w:p>
    <w:p>
      <w:pPr>
        <w:pStyle w:val="Heading2"/>
      </w:pPr>
      <w:bookmarkStart w:id="10" w:name="_decision"/>
      <w:r>
        <w:t xml:space="preserve">Decision</w:t>
      </w:r>
    </w:p>
    <w:p>
      <w:pPr>
        <w:pStyle w:val="FirstParagraph"/>
      </w:pPr>
      <w:r>
        <w:t xml:space="preserve">Use the single canonical hisn.third_party_* data model. Do not introduce hisn.tsp_* compatibility tables or a parallel datastore. Migration 213 is retained unchanged; migration 214 adds repository-required accountability and control-state columns.</w:t>
      </w:r>
    </w:p>
    <w:p>
      <w:pPr>
        <w:pStyle w:val="Heading2"/>
      </w:pPr>
      <w:bookmarkStart w:id="11" w:name="_608216899813f71476373b16fd2a81a199262c4"/>
      <w:r>
        <w:t xml:space="preserve">Corrections on this branch</w:t>
      </w:r>
    </w:p>
    <w:p>
      <w:pPr>
        <w:pStyle w:val="Compact"/>
        <w:numPr>
          <w:ilvl w:val="0"/>
          <w:numId w:val="1001"/>
        </w:numPr>
      </w:pPr>
      <w:r>
        <w:t xml:space="preserve">Repository writes and reads target only the 17 canonical third_party_* tables and their declared columns.</w:t>
      </w:r>
    </w:p>
    <w:p>
      <w:pPr>
        <w:pStyle w:val="Compact"/>
        <w:numPr>
          <w:ilvl w:val="0"/>
          <w:numId w:val="1001"/>
        </w:numPr>
      </w:pPr>
      <w:r>
        <w:t xml:space="preserve">Every mutating request requires a singular UUID evidence_id. Before each write, the repository verifies that the referenced record already exists in hisn.evidence for the authenticated tenant. An absent, unpersisted, or foreign-tenant reference is rejected. Evidence payloads remain in HISN’s existing evidence subsystem.</w:t>
      </w:r>
    </w:p>
    <w:p>
      <w:pPr>
        <w:pStyle w:val="Compact"/>
        <w:numPr>
          <w:ilvl w:val="0"/>
          <w:numId w:val="1001"/>
        </w:numPr>
      </w:pPr>
      <w:r>
        <w:t xml:space="preserve">Mutations run inside database transactions. Child writes verify that the parent relationship belongs to the same tenant.</w:t>
      </w:r>
    </w:p>
    <w:p>
      <w:pPr>
        <w:pStyle w:val="Compact"/>
        <w:numPr>
          <w:ilvl w:val="0"/>
          <w:numId w:val="1001"/>
        </w:numPr>
      </w:pPr>
      <w:r>
        <w:t xml:space="preserve">The relationship stores authenticated creator and approver identities plus approval time. Approval is allowed only while pending and only for a different actor, with a database CHECK enforcing the distinct approver. No placeholder identities are backfilled by migration 214; rows without provable attribution stop the migration for explicit human reconciliation.</w:t>
      </w:r>
    </w:p>
    <w:p>
      <w:pPr>
        <w:pStyle w:val="Compact"/>
        <w:numPr>
          <w:ilvl w:val="0"/>
          <w:numId w:val="1001"/>
        </w:numPr>
      </w:pPr>
      <w:r>
        <w:t xml:space="preserve">Relationship status values use the migration’s allowed lifecycle vocabulary. Terminal/negative states (BLOCKED, CONDITIONAL, REJECTED, SUSPENDED, EXIT_PENDING and TERMINATED) cannot be handed off, and ACTIVE must agree with approval state. Contract and exit-plan requests provide every non-null field required by the database. Unknown and unassessed values remain fail-closed.</w:t>
      </w:r>
    </w:p>
    <w:p>
      <w:pPr>
        <w:pStyle w:val="Compact"/>
        <w:numPr>
          <w:ilvl w:val="0"/>
          <w:numId w:val="1001"/>
        </w:numPr>
      </w:pPr>
      <w:r>
        <w:t xml:space="preserve">DTOs reject unknown fields rather than silently discarding them. Due-diligence dates, contract periods, BCP timestamps and subprocessor approval-at-creation have validation guards.</w:t>
      </w:r>
    </w:p>
    <w:p>
      <w:pPr>
        <w:pStyle w:val="Compact"/>
        <w:numPr>
          <w:ilvl w:val="0"/>
          <w:numId w:val="1001"/>
        </w:numPr>
      </w:pPr>
      <w:r>
        <w:t xml:space="preserve">The TSP router is mounted in the canonical FastAPI application. Gate response conversion no longer passes duplicate findings fields.</w:t>
      </w:r>
    </w:p>
    <w:p>
      <w:pPr>
        <w:pStyle w:val="Compact"/>
        <w:numPr>
          <w:ilvl w:val="0"/>
          <w:numId w:val="1001"/>
        </w:numPr>
      </w:pPr>
      <w:r>
        <w:t xml:space="preserve">Architecture tests parse the migrations and compare repository table/column usage, mandatory evidence bindings, tenant isolation declarations, and maker-checker guard presence.</w:t>
      </w:r>
    </w:p>
    <w:p>
      <w:pPr>
        <w:pStyle w:val="Heading2"/>
      </w:pPr>
      <w:bookmarkStart w:id="12" w:name="_21bdee5b0bfa07aa93bfe866234275009600bb9"/>
      <w:r>
        <w:t xml:space="preserve">Completed code-level verification</w:t>
      </w:r>
    </w:p>
    <w:p>
      <w:pPr>
        <w:pStyle w:val="FirstParagraph"/>
      </w:pPr>
      <w:r>
        <w:t xml:space="preserve">The canonical assurance workflow passed against PR head</w:t>
      </w:r>
      <w:r>
        <w:t xml:space="preserve"> </w:t>
      </w:r>
      <w:r>
        <w:rPr>
          <w:rStyle w:val="VerbatimChar"/>
        </w:rPr>
        <w:t xml:space="preserve">eefb187fde13d731a44d88d7f24967938ed01809</w:t>
      </w:r>
      <w:r>
        <w:t xml:space="preserve"> </w:t>
      </w:r>
      <w:r>
        <w:t xml:space="preserve">before merge:</w:t>
      </w:r>
    </w:p>
    <w:p>
      <w:pPr>
        <w:pStyle w:val="Compact"/>
        <w:numPr>
          <w:ilvl w:val="0"/>
          <w:numId w:val="1002"/>
        </w:numPr>
      </w:pPr>
      <w:r>
        <w:t xml:space="preserve">966 tests passed, 1 skipped; focused follow-on suite: 68 passed.</w:t>
      </w:r>
    </w:p>
    <w:p>
      <w:pPr>
        <w:pStyle w:val="Compact"/>
        <w:numPr>
          <w:ilvl w:val="0"/>
          <w:numId w:val="1002"/>
        </w:numPr>
      </w:pPr>
      <w:r>
        <w:t xml:space="preserve">Migrations 213 and 214 ran against a disposable PostgreSQL 16 instance; the second migration pass was idempotent and the migration catalog matched the expected chain.</w:t>
      </w:r>
    </w:p>
    <w:p>
      <w:pPr>
        <w:pStyle w:val="Compact"/>
        <w:numPr>
          <w:ilvl w:val="0"/>
          <w:numId w:val="1002"/>
        </w:numPr>
      </w:pPr>
      <w:r>
        <w:t xml:space="preserve">Canonical terminal assurance reported PASS and uploaded immutable artifact</w:t>
      </w:r>
      <w:r>
        <w:t xml:space="preserve"> </w:t>
      </w:r>
      <w:r>
        <w:rPr>
          <w:rStyle w:val="VerbatimChar"/>
        </w:rPr>
        <w:t xml:space="preserve">11698720181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GitGuardian scanned 8 commits without finding secrets.</w:t>
      </w:r>
    </w:p>
    <w:p>
      <w:pPr>
        <w:pStyle w:val="FirstParagraph"/>
      </w:pPr>
      <w:r>
        <w:t xml:space="preserve">Workflow evidence: https://github.com/Abdo-Tec/hisn-platform/actions/runs/38128122408</w:t>
      </w:r>
    </w:p>
    <w:p>
      <w:pPr>
        <w:pStyle w:val="Heading2"/>
      </w:pPr>
      <w:bookmarkStart w:id="13" w:name="_ec920163d1ba01916aedff53ef1d483974d3920"/>
      <w:r>
        <w:t xml:space="preserve">Verification still required before production/runtime activation</w:t>
      </w:r>
    </w:p>
    <w:p>
      <w:pPr>
        <w:pStyle w:val="FirstParagraph"/>
      </w:pPr>
      <w:r>
        <w:t xml:space="preserve">CI on a disposable PostgreSQL instance is not evidence that a target environment has been migrated or accepted. Before regulated runtime activation, capture target-environment migration and rollback/restore evidence, prove TSP tenant A/B read and write denial under the actual</w:t>
      </w:r>
      <w:r>
        <w:t xml:space="preserve"> </w:t>
      </w:r>
      <w:r>
        <w:rPr>
          <w:rStyle w:val="VerbatimChar"/>
        </w:rPr>
        <w:t xml:space="preserve">hisn_app</w:t>
      </w:r>
      <w:r>
        <w:t xml:space="preserve"> </w:t>
      </w:r>
      <w:r>
        <w:t xml:space="preserve">role, test maker-checker under concurrent attempts, verify route authorization and the full TSP API/e2e lifecycle, and retain exact-head evidence for the deployment candidate. Any already-populated environment lacking</w:t>
      </w:r>
      <w:r>
        <w:t xml:space="preserve"> </w:t>
      </w:r>
      <w:r>
        <w:rPr>
          <w:rStyle w:val="VerbatimChar"/>
        </w:rPr>
        <w:t xml:space="preserve">created_by</w:t>
      </w:r>
      <w:r>
        <w:t xml:space="preserve"> </w:t>
      </w:r>
      <w:r>
        <w:t xml:space="preserve">or approved-actor provenance will intentionally fail migration 214 until a human-sourced attribution plan exists.</w:t>
      </w:r>
    </w:p>
    <w:p>
      <w:pPr>
        <w:pStyle w:val="BodyText"/>
      </w:pPr>
      <w:r>
        <w:rPr>
          <w:b/>
          <w:bCs/>
        </w:rPr>
        <w:t xml:space="preserve">Disposition:</w:t>
      </w:r>
      <w:r>
        <w:t xml:space="preserve"> </w:t>
      </w:r>
      <w:r>
        <w:t xml:space="preserve">Schema/repository code alignment merged and code-level CI PASS; target-environment, operational, independent and regulatory assurance remain OPEN.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TSP SCHEMA REPOSITORY ALIGNMENT 2026-10-11</dc:title>
  <dc:creator>HISN Platform</dc:creator>
  <cp:keywords>HISN, FCDOS, financial crime, decision operating system</cp:keywords>
  <dcterms:created xsi:type="dcterms:W3CDTF">2026-10-13T12:57:05Z</dcterms:created>
  <dcterms:modified xsi:type="dcterms:W3CDTF">2026-10-13T12:57:05Z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