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1dc349fddb2ce9c5f8f153458c209eaecf08433"/>
      <w:r>
        <w:t xml:space="preserve">HISN Pilot — Wave 4 KYC / KYB / UBO Reconciliation</w:t>
      </w:r>
    </w:p>
    <w:p>
      <w:pPr>
        <w:pStyle w:val="Heading2"/>
      </w:pPr>
      <w:bookmarkStart w:id="10" w:name="_scope"/>
      <w:r>
        <w:t xml:space="preserve">Scope</w:t>
      </w:r>
    </w:p>
    <w:p>
      <w:pPr>
        <w:pStyle w:val="FirstParagraph"/>
      </w:pPr>
      <w:r>
        <w:t xml:space="preserve">Runtime-capability reconciliation for KYC, KYB and beneficial ownership (UBO), with explicit separation between domain capability, canonical decision-runtime participation, evidence semantics, provider/data provenance, and regulatory control requirements.</w:t>
      </w:r>
    </w:p>
    <w:p>
      <w:pPr>
        <w:pStyle w:val="Heading2"/>
      </w:pPr>
      <w:bookmarkStart w:id="11" w:name="_8d8b15dff60a36e7cf48236182175390745d3fb"/>
      <w:r>
        <w:t xml:space="preserve">Classification Rules</w:t>
      </w:r>
    </w:p>
    <w:p>
      <w:pPr>
        <w:pStyle w:val="Compact"/>
        <w:numPr>
          <w:ilvl w:val="0"/>
          <w:numId w:val="1001"/>
        </w:numPr>
      </w:pPr>
      <w:r>
        <w:t xml:space="preserve">PASS: runtime or executable contract evidence proves the pilot requirement.</w:t>
      </w:r>
    </w:p>
    <w:p>
      <w:pPr>
        <w:pStyle w:val="Compact"/>
        <w:numPr>
          <w:ilvl w:val="0"/>
          <w:numId w:val="1001"/>
        </w:numPr>
      </w:pPr>
      <w:r>
        <w:t xml:space="preserve">TEST-VERIFIED / RUNTIME-UNDRILLED: executable tests/contracts prove behavior, but the live canonical API scenario has not yet been drilled in this Wave.</w:t>
      </w:r>
    </w:p>
    <w:p>
      <w:pPr>
        <w:pStyle w:val="Compact"/>
        <w:numPr>
          <w:ilvl w:val="0"/>
          <w:numId w:val="1001"/>
        </w:numPr>
      </w:pPr>
      <w:r>
        <w:t xml:space="preserve">OBSERVATION / DEFER: capability exists but is not yet fully operationalized, provider-backed, or proven on the canonical pilot path.</w:t>
      </w:r>
    </w:p>
    <w:p>
      <w:pPr>
        <w:pStyle w:val="Compact"/>
        <w:numPr>
          <w:ilvl w:val="0"/>
          <w:numId w:val="1001"/>
        </w:numPr>
      </w:pPr>
      <w:r>
        <w:t xml:space="preserve">PILOT BLOCKER: required scenario fails with unacceptable result.</w:t>
      </w:r>
    </w:p>
    <w:p>
      <w:pPr>
        <w:pStyle w:val="Compact"/>
        <w:numPr>
          <w:ilvl w:val="0"/>
          <w:numId w:val="1001"/>
        </w:numPr>
      </w:pPr>
      <w:r>
        <w:t xml:space="preserve">STOP &amp; ESCALATE: integrity, authorization, tenant isolation, or evidence-provenance failure.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2" w:name="_cb012c2328cdde918fb370ace3cbcab2cfe9e39"/>
      <w:r>
        <w:t xml:space="preserve">Canonical Architecture</w:t>
      </w:r>
    </w:p>
    <w:p>
      <w:pPr>
        <w:pStyle w:val="FirstParagraph"/>
      </w:pPr>
      <w:r>
        <w:t xml:space="preserve">The canonical composition root registers KYC and KYB alongside the other active decision engines. UBO is intentionally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a seventh decision engine; it remains an ownership capability surfaced through KYB evidence.</w:t>
      </w:r>
    </w:p>
    <w:p>
      <w:pPr>
        <w:pStyle w:val="Heading2"/>
      </w:pPr>
      <w:bookmarkStart w:id="13" w:name="_b6f1ccdd7b9a95b5c6fde067d11477485ca589f"/>
      <w:r>
        <w:t xml:space="preserve">Runtime Evidence — KYC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ID</w:t>
            </w:r>
          </w:p>
        </w:tc>
        <w:tc>
          <w:tcPr/>
          <w:p>
            <w:pPr>
              <w:pStyle w:val="Compact"/>
            </w:pPr>
            <w:r>
              <w:t xml:space="preserve">Scenario</w:t>
            </w:r>
          </w:p>
        </w:tc>
        <w:tc>
          <w:tcPr/>
          <w:p>
            <w:pPr>
              <w:pStyle w:val="Compact"/>
            </w:pPr>
            <w:r>
              <w:t xml:space="preserve">Runtime Evidence</w:t>
            </w:r>
          </w:p>
        </w:tc>
        <w:tc>
          <w:tcPr/>
          <w:p>
            <w:pPr>
              <w:pStyle w:val="Compact"/>
            </w:pPr>
            <w:r>
              <w:t xml:space="preserve">Result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KYC-RT-01</w:t>
            </w:r>
          </w:p>
        </w:tc>
        <w:tc>
          <w:tcPr/>
          <w:p>
            <w:pPr>
              <w:pStyle w:val="Compact"/>
            </w:pPr>
            <w:r>
              <w:t xml:space="preserve">Clean individual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DEC-284C340A</w:t>
            </w:r>
            <w:r>
              <w:t xml:space="preserve">; zero KYC findings;</w:t>
            </w:r>
            <w:r>
              <w:t xml:space="preserve"> </w:t>
            </w:r>
            <w:r>
              <w:rPr>
                <w:rStyle w:val="VerbatimChar"/>
              </w:rPr>
              <w:t xml:space="preserve">APPROVE</w:t>
            </w:r>
            <w:r>
              <w:t xml:space="preserve">; risk</w:t>
            </w:r>
            <w:r>
              <w:t xml:space="preserve"> </w:t>
            </w:r>
            <w:r>
              <w:rPr>
                <w:rStyle w:val="VerbatimChar"/>
              </w:rPr>
              <w:t xml:space="preserve">0.0 LOW</w:t>
            </w:r>
            <w:r>
              <w:t xml:space="preserve">; decision/DNA/audit persisted; 5-event chain integrity valid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KYC-RT-02</w:t>
            </w:r>
          </w:p>
        </w:tc>
        <w:tc>
          <w:tcPr/>
          <w:p>
            <w:pPr>
              <w:pStyle w:val="Compact"/>
            </w:pPr>
            <w:r>
              <w:t xml:space="preserve">High-risk nationality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DEC-EE1C7602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high_risk_nationality</w:t>
            </w:r>
            <w:r>
              <w:t xml:space="preserve"> </w:t>
            </w:r>
            <w:r>
              <w:t xml:space="preserve">evidence weight</w:t>
            </w:r>
            <w:r>
              <w:t xml:space="preserve"> </w:t>
            </w:r>
            <w:r>
              <w:rPr>
                <w:rStyle w:val="VerbatimChar"/>
              </w:rPr>
              <w:t xml:space="preserve">0.80</w:t>
            </w:r>
            <w:r>
              <w:t xml:space="preserve">; risk</w:t>
            </w:r>
            <w:r>
              <w:t xml:space="preserve"> </w:t>
            </w:r>
            <w:r>
              <w:rPr>
                <w:rStyle w:val="VerbatimChar"/>
              </w:rPr>
              <w:t xml:space="preserve">0.16 LOW</w:t>
            </w:r>
            <w:r>
              <w:t xml:space="preserve">; final action</w:t>
            </w:r>
            <w:r>
              <w:t xml:space="preserve"> </w:t>
            </w:r>
            <w:r>
              <w:rPr>
                <w:rStyle w:val="VerbatimChar"/>
              </w:rPr>
              <w:t xml:space="preserve">approve</w:t>
            </w:r>
            <w:r>
              <w:t xml:space="preserve">; decision/DNA/audit persisted; 5-event integrity valid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PASS — detection / lifecycle; decision-semantics observation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KYC-RT-03</w:t>
            </w:r>
          </w:p>
        </w:tc>
        <w:tc>
          <w:tcPr/>
          <w:p>
            <w:pPr>
              <w:pStyle w:val="Compact"/>
            </w:pPr>
            <w:r>
              <w:t xml:space="preserve">Blocked 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DEC-88BC01AD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blocked_name</w:t>
            </w:r>
            <w:r>
              <w:t xml:space="preserve"> </w:t>
            </w:r>
            <w:r>
              <w:t xml:space="preserve">evidence weight</w:t>
            </w:r>
            <w:r>
              <w:t xml:space="preserve"> </w:t>
            </w:r>
            <w:r>
              <w:rPr>
                <w:rStyle w:val="VerbatimChar"/>
              </w:rPr>
              <w:t xml:space="preserve">0.95</w:t>
            </w:r>
            <w:r>
              <w:t xml:space="preserve">; risk</w:t>
            </w:r>
            <w:r>
              <w:t xml:space="preserve"> </w:t>
            </w:r>
            <w:r>
              <w:rPr>
                <w:rStyle w:val="VerbatimChar"/>
              </w:rPr>
              <w:t xml:space="preserve">0.19 LOW</w:t>
            </w:r>
            <w:r>
              <w:t xml:space="preserve">; final action</w:t>
            </w:r>
            <w:r>
              <w:t xml:space="preserve"> </w:t>
            </w:r>
            <w:r>
              <w:rPr>
                <w:rStyle w:val="VerbatimChar"/>
              </w:rPr>
              <w:t xml:space="preserve">approve</w:t>
            </w:r>
            <w:r>
              <w:t xml:space="preserve">; decision/DNA/audit persisted; 5-event integrity valid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PASS — detection / lifecycle; decision-semantics observation</w:t>
            </w:r>
          </w:p>
        </w:tc>
      </w:tr>
    </w:tbl>
    <w:p>
      <w:pPr>
        <w:pStyle w:val="Heading3"/>
      </w:pPr>
      <w:bookmarkStart w:id="14" w:name="_b92a57b66680568734d4a915fd4f922f193276b"/>
      <w:r>
        <w:t xml:space="preserve">KYC runtime interpretation</w:t>
      </w:r>
    </w:p>
    <w:p>
      <w:pPr>
        <w:pStyle w:val="FirstParagraph"/>
      </w:pPr>
      <w:r>
        <w:t xml:space="preserve">The runtime proves clean, high-risk-nationality and blocked-name KYC probe classes. The two adverse probes reproduce the existing cross-engine aggregation observation: strong KYC findings can be diluted into LOW/APPROVE when no separate policy constraint applies. This remains under</w:t>
      </w:r>
      <w:r>
        <w:t xml:space="preserve"> </w:t>
      </w:r>
      <w:r>
        <w:rPr>
          <w:rStyle w:val="VerbatimChar"/>
        </w:rPr>
        <w:t xml:space="preserve">DEV-RISK-SEM-001</w:t>
      </w:r>
      <w:r>
        <w:t xml:space="preserve"> </w:t>
      </w:r>
      <w:r>
        <w:t xml:space="preserve">and is not a new issue.</w:t>
      </w:r>
    </w:p>
    <w:p>
      <w:pPr>
        <w:pStyle w:val="BodyText"/>
      </w:pPr>
      <w:r>
        <w:t xml:space="preserve">KYC evidence observed in runtime carries</w:t>
      </w:r>
      <w:r>
        <w:t xml:space="preserve"> </w:t>
      </w:r>
      <w:r>
        <w:rPr>
          <w:rStyle w:val="VerbatimChar"/>
        </w:rPr>
        <w:t xml:space="preserve">transaction_id = null</w:t>
      </w:r>
      <w:r>
        <w:t xml:space="preserve">,</w:t>
      </w:r>
      <w:r>
        <w:t xml:space="preserve"> </w:t>
      </w:r>
      <w:r>
        <w:rPr>
          <w:rStyle w:val="VerbatimChar"/>
        </w:rPr>
        <w:t xml:space="preserve">case_id = null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payload = {}</w:t>
      </w:r>
      <w:r>
        <w:t xml:space="preserve">. This remains a Decision Passport / evidence-context enrichment observation deferred from Pilot scope.</w:t>
      </w:r>
    </w:p>
    <w:p>
      <w:pPr>
        <w:pStyle w:val="Heading2"/>
      </w:pPr>
      <w:bookmarkStart w:id="15" w:name="_2e28bbd05b7610879072c240d9396bd46293928"/>
      <w:r>
        <w:t xml:space="preserve">Runtime Evidence — KYB / UBO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ID</w:t>
            </w:r>
          </w:p>
        </w:tc>
        <w:tc>
          <w:tcPr/>
          <w:p>
            <w:pPr>
              <w:pStyle w:val="Compact"/>
            </w:pPr>
            <w:r>
              <w:t xml:space="preserve">Scenario</w:t>
            </w:r>
          </w:p>
        </w:tc>
        <w:tc>
          <w:tcPr/>
          <w:p>
            <w:pPr>
              <w:pStyle w:val="Compact"/>
            </w:pPr>
            <w:r>
              <w:t xml:space="preserve">Runtime Evidence</w:t>
            </w:r>
          </w:p>
        </w:tc>
        <w:tc>
          <w:tcPr/>
          <w:p>
            <w:pPr>
              <w:pStyle w:val="Compact"/>
            </w:pPr>
            <w:r>
              <w:t xml:space="preserve">Result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KYB-RT-01</w:t>
            </w:r>
          </w:p>
        </w:tc>
        <w:tc>
          <w:tcPr/>
          <w:p>
            <w:pPr>
              <w:pStyle w:val="Compact"/>
            </w:pPr>
            <w:r>
              <w:t xml:space="preserve">Corporate missing identity</w:t>
            </w:r>
          </w:p>
        </w:tc>
        <w:tc>
          <w:tcPr/>
          <w:p>
            <w:pPr>
              <w:pStyle w:val="Compact"/>
            </w:pPr>
            <w:r>
              <w:t xml:space="preserve">Pilot API call returned HTTP 422 before a decision was persisted; payload used a deliberately incomplete corporate identity case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RUNTIME NOT RECORDED — retry required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UBO-RT-01</w:t>
            </w:r>
          </w:p>
        </w:tc>
        <w:tc>
          <w:tcPr/>
          <w:p>
            <w:pPr>
              <w:pStyle w:val="Compact"/>
            </w:pPr>
            <w:r>
              <w:t xml:space="preserve">Verified UBO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DEC-9125E29B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kyb_ubo_verified</w:t>
            </w:r>
            <w:r>
              <w:t xml:space="preserve">; ownership evidence; provider</w:t>
            </w:r>
            <w:r>
              <w:t xml:space="preserve"> </w:t>
            </w:r>
            <w:r>
              <w:rPr>
                <w:rStyle w:val="VerbatimChar"/>
              </w:rPr>
              <w:t xml:space="preserve">manual_pilot</w:t>
            </w:r>
            <w:r>
              <w:t xml:space="preserve">; owner</w:t>
            </w:r>
            <w:r>
              <w:t xml:space="preserve"> </w:t>
            </w:r>
            <w:r>
              <w:rPr>
                <w:rStyle w:val="VerbatimChar"/>
              </w:rPr>
              <w:t xml:space="preserve">Verified Owner</w:t>
            </w:r>
            <w:r>
              <w:t xml:space="preserve">; ownership</w:t>
            </w:r>
            <w:r>
              <w:t xml:space="preserve"> </w:t>
            </w:r>
            <w:r>
              <w:rPr>
                <w:rStyle w:val="VerbatimChar"/>
              </w:rPr>
              <w:t xml:space="preserve">60%</w:t>
            </w:r>
            <w:r>
              <w:t xml:space="preserve">; risk</w:t>
            </w:r>
            <w:r>
              <w:t xml:space="preserve"> </w:t>
            </w:r>
            <w:r>
              <w:rPr>
                <w:rStyle w:val="VerbatimChar"/>
              </w:rPr>
              <w:t xml:space="preserve">0.0 LOW</w:t>
            </w:r>
            <w:r>
              <w:t xml:space="preserve">; decision/DNA/audit persisted; 5-event chain integrity valid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PASS — evidence semantics / lifecycle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UBO-RT-02</w:t>
            </w:r>
          </w:p>
        </w:tc>
        <w:tc>
          <w:tcPr/>
          <w:p>
            <w:pPr>
              <w:pStyle w:val="Compact"/>
            </w:pPr>
            <w:r>
              <w:t xml:space="preserve">Unverified UBO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DEC-82E156A9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kyb_ubo_unverified</w:t>
            </w:r>
            <w:r>
              <w:t xml:space="preserve">; weight</w:t>
            </w:r>
            <w:r>
              <w:t xml:space="preserve"> </w:t>
            </w:r>
            <w:r>
              <w:rPr>
                <w:rStyle w:val="VerbatimChar"/>
              </w:rPr>
              <w:t xml:space="preserve">0.35</w:t>
            </w:r>
            <w:r>
              <w:t xml:space="preserve">; provider</w:t>
            </w:r>
            <w:r>
              <w:t xml:space="preserve"> </w:t>
            </w:r>
            <w:r>
              <w:rPr>
                <w:rStyle w:val="VerbatimChar"/>
              </w:rPr>
              <w:t xml:space="preserve">manual_pilot</w:t>
            </w:r>
            <w:r>
              <w:t xml:space="preserve">; risk</w:t>
            </w:r>
            <w:r>
              <w:t xml:space="preserve"> </w:t>
            </w:r>
            <w:r>
              <w:rPr>
                <w:rStyle w:val="VerbatimChar"/>
              </w:rPr>
              <w:t xml:space="preserve">0.35 LOW</w:t>
            </w:r>
            <w:r>
              <w:t xml:space="preserve">; decision/DNA/audit persisted; 5-event chain integrity valid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PASS — adverse evidence propagation; decision-semantics observation</w:t>
            </w:r>
          </w:p>
        </w:tc>
      </w:tr>
    </w:tbl>
    <w:p>
      <w:pPr>
        <w:pStyle w:val="Heading3"/>
      </w:pPr>
      <w:bookmarkStart w:id="16" w:name="_3181b41694dd4082b814df549b3b78bfa72a85d"/>
      <w:r>
        <w:t xml:space="preserve">UBO runtime interpretation</w:t>
      </w:r>
    </w:p>
    <w:p>
      <w:pPr>
        <w:pStyle w:val="FirstParagraph"/>
      </w:pPr>
      <w:r>
        <w:rPr>
          <w:rStyle w:val="VerbatimChar"/>
        </w:rPr>
        <w:t xml:space="preserve">VERIFIED</w:t>
      </w:r>
      <w:r>
        <w:t xml:space="preserve"> </w:t>
      </w:r>
      <w:r>
        <w:t xml:space="preserve">correctly creates positive ownership evidence with</w:t>
      </w:r>
      <w:r>
        <w:t xml:space="preserve"> </w:t>
      </w:r>
      <w:r>
        <w:rPr>
          <w:b/>
          <w:bCs/>
        </w:rPr>
        <w:t xml:space="preserve">zero adverse risk weight</w:t>
      </w:r>
      <w:r>
        <w:t xml:space="preserve">.</w:t>
      </w:r>
      <w:r>
        <w:t xml:space="preserve"> </w:t>
      </w:r>
      <w:r>
        <w:rPr>
          <w:rStyle w:val="VerbatimChar"/>
        </w:rPr>
        <w:t xml:space="preserve">UNVERIFIED</w:t>
      </w:r>
      <w:r>
        <w:t xml:space="preserve"> </w:t>
      </w:r>
      <w:r>
        <w:t xml:space="preserve">creates explicit adverse ownership evidence with weight</w:t>
      </w:r>
      <w:r>
        <w:t xml:space="preserve"> </w:t>
      </w:r>
      <w:r>
        <w:rPr>
          <w:rStyle w:val="VerbatimChar"/>
        </w:rPr>
        <w:t xml:space="preserve">0.35</w:t>
      </w:r>
      <w:r>
        <w:t xml:space="preserve">. This preserves the semantic distinction between verified positive evidence and adverse/unreliable states.</w:t>
      </w:r>
    </w:p>
    <w:p>
      <w:pPr>
        <w:pStyle w:val="BodyText"/>
      </w:pPr>
      <w:r>
        <w:t xml:space="preserve">Neither result proves external/provider-backed verification: both use</w:t>
      </w:r>
      <w:r>
        <w:t xml:space="preserve"> </w:t>
      </w:r>
      <w:r>
        <w:rPr>
          <w:rStyle w:val="VerbatimChar"/>
        </w:rPr>
        <w:t xml:space="preserve">manual_pilot</w:t>
      </w:r>
      <w:r>
        <w:t xml:space="preserve"> </w:t>
      </w:r>
      <w:r>
        <w:t xml:space="preserve">as the provider identifier.</w:t>
      </w:r>
      <w:r>
        <w:t xml:space="preserve"> </w:t>
      </w:r>
      <w:r>
        <w:rPr>
          <w:rStyle w:val="VerbatimChar"/>
        </w:rPr>
        <w:t xml:space="preserve">verified_at</w:t>
      </w:r>
      <w:r>
        <w:t xml:space="preserve"> </w:t>
      </w:r>
      <w:r>
        <w:t xml:space="preserve">is also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 These are provenance/lineage observations, not evidence that a live registry or Wathiq integration executed.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UNVERIFIED</w:t>
      </w:r>
      <w:r>
        <w:t xml:space="preserve"> </w:t>
      </w:r>
      <w:r>
        <w:t xml:space="preserve">case remaining</w:t>
      </w:r>
      <w:r>
        <w:t xml:space="preserve"> </w:t>
      </w:r>
      <w:r>
        <w:rPr>
          <w:rStyle w:val="VerbatimChar"/>
        </w:rPr>
        <w:t xml:space="preserve">LOW / APPROVE</w:t>
      </w:r>
      <w:r>
        <w:t xml:space="preserve"> </w:t>
      </w:r>
      <w:r>
        <w:t xml:space="preserve">is another manifestation of</w:t>
      </w:r>
      <w:r>
        <w:t xml:space="preserve"> </w:t>
      </w:r>
      <w:r>
        <w:rPr>
          <w:rStyle w:val="VerbatimChar"/>
        </w:rPr>
        <w:t xml:space="preserve">DEV-RISK-SEM-001</w:t>
      </w:r>
      <w:r>
        <w:t xml:space="preserve">; the evidence was generated correctly, while decision authorization did not independently constrain the action.</w:t>
      </w:r>
    </w:p>
    <w:p>
      <w:pPr>
        <w:pStyle w:val="Heading2"/>
      </w:pPr>
      <w:bookmarkStart w:id="17" w:name="_35814a5c9237ca1d815f18c2519ab363d776527"/>
      <w:r>
        <w:t xml:space="preserve">Capability Status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ID</w:t>
            </w:r>
          </w:p>
        </w:tc>
        <w:tc>
          <w:tcPr/>
          <w:p>
            <w:pPr>
              <w:pStyle w:val="Compact"/>
            </w:pPr>
            <w:r>
              <w:t xml:space="preserve">Capability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KYC-01</w:t>
            </w:r>
          </w:p>
        </w:tc>
        <w:tc>
          <w:tcPr/>
          <w:p>
            <w:pPr>
              <w:pStyle w:val="Compact"/>
            </w:pPr>
            <w:r>
              <w:t xml:space="preserve">Canonical registration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KYC-02</w:t>
            </w:r>
          </w:p>
        </w:tc>
        <w:tc>
          <w:tcPr/>
          <w:p>
            <w:pPr>
              <w:pStyle w:val="Compact"/>
            </w:pPr>
            <w:r>
              <w:t xml:space="preserve">Safe customer evaluation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PASS — live</w:t>
            </w:r>
          </w:p>
        </w:tc>
      </w:tr>
      <w:tr>
        <w:tc>
          <w:tcPr/>
          <w:p>
            <w:pPr>
              <w:pStyle w:val="Compact"/>
            </w:pPr>
            <w:r>
              <w:t xml:space="preserve">KYC-03</w:t>
            </w:r>
          </w:p>
        </w:tc>
        <w:tc>
          <w:tcPr/>
          <w:p>
            <w:pPr>
              <w:pStyle w:val="Compact"/>
            </w:pPr>
            <w:r>
              <w:t xml:space="preserve">Blocked-name signal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PASS — live</w:t>
            </w:r>
          </w:p>
        </w:tc>
      </w:tr>
      <w:tr>
        <w:tc>
          <w:tcPr/>
          <w:p>
            <w:pPr>
              <w:pStyle w:val="Compact"/>
            </w:pPr>
            <w:r>
              <w:t xml:space="preserve">KYC-04</w:t>
            </w:r>
          </w:p>
        </w:tc>
        <w:tc>
          <w:tcPr/>
          <w:p>
            <w:pPr>
              <w:pStyle w:val="Compact"/>
            </w:pPr>
            <w:r>
              <w:t xml:space="preserve">High-risk nationality signal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PASS — live</w:t>
            </w:r>
          </w:p>
        </w:tc>
      </w:tr>
      <w:tr>
        <w:tc>
          <w:tcPr/>
          <w:p>
            <w:pPr>
              <w:pStyle w:val="Compact"/>
            </w:pPr>
            <w:r>
              <w:t xml:space="preserve">KYC-05</w:t>
            </w:r>
          </w:p>
        </w:tc>
        <w:tc>
          <w:tcPr/>
          <w:p>
            <w:pPr>
              <w:pStyle w:val="Compact"/>
            </w:pPr>
            <w:r>
              <w:t xml:space="preserve">Explicit context precedence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PASS — test verified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KYC-06</w:t>
            </w:r>
          </w:p>
        </w:tc>
        <w:tc>
          <w:tcPr/>
          <w:p>
            <w:pPr>
              <w:pStyle w:val="Compact"/>
            </w:pPr>
            <w:r>
              <w:t xml:space="preserve">Independent identity verification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OBSERVATION / DEFER</w:t>
            </w:r>
            <w:r>
              <w:t xml:space="preserve"> </w:t>
            </w:r>
            <w:r>
              <w:t xml:space="preserve">— heuristic/plugin capability only in current canonical path</w:t>
            </w:r>
          </w:p>
        </w:tc>
      </w:tr>
      <w:tr>
        <w:tc>
          <w:tcPr/>
          <w:p>
            <w:pPr>
              <w:pStyle w:val="Compact"/>
            </w:pPr>
            <w:r>
              <w:t xml:space="preserve">KYC-07</w:t>
            </w:r>
          </w:p>
        </w:tc>
        <w:tc>
          <w:tcPr/>
          <w:p>
            <w:pPr>
              <w:pStyle w:val="Compact"/>
            </w:pPr>
            <w:r>
              <w:t xml:space="preserve">Provider failure / indeterminate identity state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OBSERVATION / DEFER</w:t>
            </w:r>
            <w:r>
              <w:t xml:space="preserve"> </w:t>
            </w:r>
            <w:r>
              <w:t xml:space="preserve">— no live provider outage drill for canonical KYC</w:t>
            </w:r>
          </w:p>
        </w:tc>
      </w:tr>
      <w:tr>
        <w:tc>
          <w:tcPr/>
          <w:p>
            <w:pPr>
              <w:pStyle w:val="Compact"/>
            </w:pPr>
            <w:r>
              <w:t xml:space="preserve">KYB-01</w:t>
            </w:r>
          </w:p>
        </w:tc>
        <w:tc>
          <w:tcPr/>
          <w:p>
            <w:pPr>
              <w:pStyle w:val="Compact"/>
            </w:pPr>
            <w:r>
              <w:t xml:space="preserve">Canonical registration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KYB-02</w:t>
            </w:r>
          </w:p>
        </w:tc>
        <w:tc>
          <w:tcPr/>
          <w:p>
            <w:pPr>
              <w:pStyle w:val="Compact"/>
            </w:pPr>
            <w:r>
              <w:t xml:space="preserve">Corporate applicability boundary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PASS — test verified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KYB-03</w:t>
            </w:r>
          </w:p>
        </w:tc>
        <w:tc>
          <w:tcPr/>
          <w:p>
            <w:pPr>
              <w:pStyle w:val="Compact"/>
            </w:pPr>
            <w:r>
              <w:t xml:space="preserve">Missing corporate name control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PASS — engine capability; live API retry required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UBO-01</w:t>
            </w:r>
          </w:p>
        </w:tc>
        <w:tc>
          <w:tcPr/>
          <w:p>
            <w:pPr>
              <w:pStyle w:val="Compact"/>
            </w:pPr>
            <w:r>
              <w:t xml:space="preserve">Verified UBO evidence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PASS — live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DEC-9125E29B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UBO-02</w:t>
            </w:r>
          </w:p>
        </w:tc>
        <w:tc>
          <w:tcPr/>
          <w:p>
            <w:pPr>
              <w:pStyle w:val="Compact"/>
            </w:pPr>
            <w:r>
              <w:t xml:space="preserve">Unverified UBO evidence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PASS — live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DEC-82E156A9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UBO-03</w:t>
            </w:r>
          </w:p>
        </w:tc>
        <w:tc>
          <w:tcPr/>
          <w:p>
            <w:pPr>
              <w:pStyle w:val="Compact"/>
            </w:pPr>
            <w:r>
              <w:t xml:space="preserve">Indirect ownership calculation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TEST-VERIFIED / RUNTIME-UNDRILLED</w:t>
            </w:r>
            <w:r>
              <w:t xml:space="preserve"> </w:t>
            </w:r>
            <w:r>
              <w:t xml:space="preserve">— 60% × 50% = 30% test contract</w:t>
            </w:r>
          </w:p>
        </w:tc>
      </w:tr>
      <w:tr>
        <w:tc>
          <w:tcPr/>
          <w:p>
            <w:pPr>
              <w:pStyle w:val="Compact"/>
            </w:pPr>
            <w:r>
              <w:t xml:space="preserve">UBO-04</w:t>
            </w:r>
          </w:p>
        </w:tc>
        <w:tc>
          <w:tcPr/>
          <w:p>
            <w:pPr>
              <w:pStyle w:val="Compact"/>
            </w:pPr>
            <w:r>
              <w:t xml:space="preserve">Ownership graph cycle protection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PASS — code behavior</w:t>
            </w:r>
          </w:p>
        </w:tc>
      </w:tr>
      <w:tr>
        <w:tc>
          <w:tcPr/>
          <w:p>
            <w:pPr>
              <w:pStyle w:val="Compact"/>
            </w:pPr>
            <w:r>
              <w:t xml:space="preserve">UBO-05</w:t>
            </w:r>
          </w:p>
        </w:tc>
        <w:tc>
          <w:tcPr/>
          <w:p>
            <w:pPr>
              <w:pStyle w:val="Compact"/>
            </w:pPr>
            <w:r>
              <w:t xml:space="preserve">Provider-backed ownership hydration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OBSERVATION / DEFER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UBO-06</w:t>
            </w:r>
          </w:p>
        </w:tc>
        <w:tc>
          <w:tcPr/>
          <w:p>
            <w:pPr>
              <w:pStyle w:val="Compact"/>
            </w:pPr>
            <w:r>
              <w:t xml:space="preserve">Historical provenance/read boundary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OBSERVATION / DEFER</w:t>
            </w:r>
          </w:p>
        </w:tc>
      </w:tr>
    </w:tbl>
    <w:p>
      <w:pPr>
        <w:pStyle w:val="Heading2"/>
      </w:pPr>
      <w:bookmarkStart w:id="18" w:name="_adef03a651c4560610f87472091a6e786960943"/>
      <w:r>
        <w:t xml:space="preserve">Evidence Semantics</w:t>
      </w:r>
    </w:p>
    <w:p>
      <w:pPr>
        <w:pStyle w:val="FirstParagraph"/>
      </w:pPr>
      <w:r>
        <w:t xml:space="preserve">The canonical KYB engine represents verified UBO as evidence with zero adverse weight and unverified UBO as adverse evidence. This avoids using positive verification as artificial negative risk and preserves a meaningful distinction between verified, unverified and unavailable states.</w:t>
      </w:r>
    </w:p>
    <w:p>
      <w:pPr>
        <w:pStyle w:val="Heading2"/>
      </w:pPr>
      <w:bookmarkStart w:id="19" w:name="_8c3ed555736581ada1e54101201cc3ac57eb237"/>
      <w:r>
        <w:t xml:space="preserve">Decision Semantics Observation</w:t>
      </w:r>
    </w:p>
    <w:p>
      <w:pPr>
        <w:pStyle w:val="FirstParagraph"/>
      </w:pPr>
      <w:r>
        <w:t xml:space="preserve">Across KYC and UBO probes, strong or adverse findings can still lead to</w:t>
      </w:r>
      <w:r>
        <w:t xml:space="preserve"> </w:t>
      </w:r>
      <w:r>
        <w:rPr>
          <w:rStyle w:val="VerbatimChar"/>
        </w:rPr>
        <w:t xml:space="preserve">LOW / APPROVE</w:t>
      </w:r>
      <w:r>
        <w:t xml:space="preserve"> </w:t>
      </w:r>
      <w:r>
        <w:t xml:space="preserve">when no separate policy constraint overrides aggregation. This is the already-registered</w:t>
      </w:r>
      <w:r>
        <w:t xml:space="preserve"> </w:t>
      </w:r>
      <w:r>
        <w:rPr>
          <w:rStyle w:val="VerbatimChar"/>
        </w:rPr>
        <w:t xml:space="preserve">DEV-RISK-SEM-001</w:t>
      </w:r>
      <w:r>
        <w:t xml:space="preserve"> </w:t>
      </w:r>
      <w:r>
        <w:t xml:space="preserve">observation. No new issue is created and no production code is changed during the frozen Pilot build.</w:t>
      </w:r>
    </w:p>
    <w:p>
      <w:pPr>
        <w:pStyle w:val="Heading2"/>
      </w:pPr>
      <w:bookmarkStart w:id="20" w:name="_9da157db521ab0392119e786a87be27dd1eeefd"/>
      <w:r>
        <w:t xml:space="preserve">Provenance / Lineage Observation</w:t>
      </w:r>
    </w:p>
    <w:p>
      <w:pPr>
        <w:pStyle w:val="FirstParagraph"/>
      </w:pPr>
      <w:r>
        <w:t xml:space="preserve">Runtime evidence for KYC and UBO currently shows missing transaction/case context in the evidence object. The verified UBO probe also reports</w:t>
      </w:r>
      <w:r>
        <w:t xml:space="preserve"> </w:t>
      </w:r>
      <w:r>
        <w:rPr>
          <w:rStyle w:val="VerbatimChar"/>
        </w:rPr>
        <w:t xml:space="preserve">provider=manual_pilot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verified_at=null</w:t>
      </w:r>
      <w:r>
        <w:t xml:space="preserve">. Therefore the runtime proves evidence propagation, not external independent verification.</w:t>
      </w:r>
    </w:p>
    <w:p>
      <w:pPr>
        <w:pStyle w:val="Heading2"/>
      </w:pPr>
      <w:bookmarkStart w:id="21" w:name="_fdb120a0019cdff649ea9d15d625f4a017152fd"/>
      <w:r>
        <w:t xml:space="preserve">Current Decision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No production code changes.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No test changes.</w:t>
      </w:r>
    </w:p>
    <w:p>
      <w:pPr>
        <w:pStyle w:val="Compact"/>
        <w:numPr>
          <w:ilvl w:val="0"/>
          <w:numId w:val="1002"/>
        </w:numPr>
      </w:pPr>
      <w:r>
        <w:t xml:space="preserve">KYC canonical participation and three live probe classes:</w:t>
      </w:r>
      <w:r>
        <w:t xml:space="preserve"> </w:t>
      </w:r>
      <w:r>
        <w:rPr>
          <w:b/>
          <w:bCs/>
        </w:rPr>
        <w:t xml:space="preserve">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Verified UBO evidence propagation:</w:t>
      </w:r>
      <w:r>
        <w:t xml:space="preserve"> </w:t>
      </w:r>
      <w:r>
        <w:rPr>
          <w:b/>
          <w:bCs/>
        </w:rPr>
        <w:t xml:space="preserve">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Unverified UBO evidence propagation:</w:t>
      </w:r>
      <w:r>
        <w:t xml:space="preserve"> </w:t>
      </w:r>
      <w:r>
        <w:rPr>
          <w:b/>
          <w:bCs/>
        </w:rPr>
        <w:t xml:space="preserve">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Corporate missing-name runtime:</w:t>
      </w:r>
      <w:r>
        <w:t xml:space="preserve"> </w:t>
      </w:r>
      <w:r>
        <w:rPr>
          <w:b/>
          <w:bCs/>
        </w:rPr>
        <w:t xml:space="preserve">OPEN — retry required after HTTP 422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Provider-backed identity/ownership verification:</w:t>
      </w:r>
      <w:r>
        <w:t xml:space="preserve"> </w:t>
      </w:r>
      <w:r>
        <w:rPr>
          <w:b/>
          <w:bCs/>
        </w:rPr>
        <w:t xml:space="preserve">NOT YET PROVEN LIVE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Pilot blocker:</w:t>
      </w:r>
      <w:r>
        <w:t xml:space="preserve"> </w:t>
      </w:r>
      <w:r>
        <w:rPr>
          <w:b/>
          <w:bCs/>
        </w:rPr>
        <w:t xml:space="preserve">NONE IDENTIFIED</w:t>
      </w:r>
      <w:r>
        <w:t xml:space="preserve">.</w:t>
      </w:r>
    </w:p>
    <w:p>
      <w:pPr>
        <w:pStyle w:val="Heading2"/>
      </w:pPr>
      <w:bookmarkStart w:id="22" w:name="_d4686b857a55b47dc174a04d4215618e3d37479"/>
      <w:r>
        <w:t xml:space="preserve">Required Next Probe</w:t>
      </w:r>
    </w:p>
    <w:p>
      <w:pPr>
        <w:pStyle w:val="FirstParagraph"/>
      </w:pPr>
      <w:r>
        <w:t xml:space="preserve">Run one remaining canonical corporate probe with a valid</w:t>
      </w:r>
      <w:r>
        <w:t xml:space="preserve"> </w:t>
      </w:r>
      <w:r>
        <w:rPr>
          <w:rStyle w:val="VerbatimChar"/>
        </w:rPr>
        <w:t xml:space="preserve">PilotEvaluateRequest</w:t>
      </w:r>
      <w:r>
        <w:t xml:space="preserve"> </w:t>
      </w:r>
      <w:r>
        <w:t xml:space="preserve">that intentionally omits the corporate</w:t>
      </w:r>
      <w:r>
        <w:t xml:space="preserve"> </w:t>
      </w:r>
      <w:r>
        <w:rPr>
          <w:rStyle w:val="VerbatimChar"/>
        </w:rPr>
        <w:t xml:space="preserve">full_name</w:t>
      </w:r>
      <w:r>
        <w:t xml:space="preserve"> </w:t>
      </w:r>
      <w:r>
        <w:t xml:space="preserve">while still satisfying all schema-level identity requirements. Expected outcome:</w:t>
      </w:r>
      <w:r>
        <w:t xml:space="preserve"> </w:t>
      </w:r>
      <w:r>
        <w:rPr>
          <w:rStyle w:val="VerbatimChar"/>
        </w:rPr>
        <w:t xml:space="preserve">kyb_no_name</w:t>
      </w:r>
      <w:r>
        <w:t xml:space="preserve"> </w:t>
      </w:r>
      <w:r>
        <w:t xml:space="preserve">evidence, no silent corporate clear, persisted decision and intact 5-event audit chain.</w:t>
      </w:r>
    </w:p>
    <w:p>
      <w:pPr>
        <w:pStyle w:val="BodyText"/>
      </w:pPr>
      <w:r>
        <w:t xml:space="preserve">Then run a corporate case with</w:t>
      </w:r>
      <w:r>
        <w:t xml:space="preserve"> </w:t>
      </w:r>
      <w:r>
        <w:rPr>
          <w:b/>
          <w:bCs/>
        </w:rPr>
        <w:t xml:space="preserve">no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ubo</w:t>
      </w:r>
      <w:r>
        <w:rPr>
          <w:b/>
          <w:bCs/>
        </w:rPr>
        <w:t xml:space="preserve"> </w:t>
      </w:r>
      <w:r>
        <w:rPr>
          <w:b/>
          <w:bCs/>
        </w:rPr>
        <w:t xml:space="preserve">object at all</w:t>
      </w:r>
      <w:r>
        <w:t xml:space="preserve">. Expected outcome: no synthesized</w:t>
      </w:r>
      <w:r>
        <w:t xml:space="preserve"> </w:t>
      </w:r>
      <w:r>
        <w:rPr>
          <w:rStyle w:val="VerbatimChar"/>
        </w:rPr>
        <w:t xml:space="preserve">kyb_ubo_verified</w:t>
      </w:r>
      <w:r>
        <w:t xml:space="preserve"> </w:t>
      </w:r>
      <w:r>
        <w:t xml:space="preserve">evidence and no claim of verified ownership merely from missing data.</w:t>
      </w:r>
    </w:p>
    <w:p>
      <w:pPr>
        <w:pStyle w:val="Heading2"/>
      </w:pPr>
      <w:bookmarkStart w:id="23" w:name="_4e0c21213b6a6ae16f00c7d427df8b498d4e250"/>
      <w:r>
        <w:t xml:space="preserve">Reference Files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src/bootstrap/container.py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src/engines/kyc/engine.py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src/engines/kyc/plugins/blocked_name.py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src/engines/kyc/plugins/high_risk_nationality.py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src/engines/kyb/engine.py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src/platform/financial/ownership/beneficial/services/ubo_resolver.py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src/platform/financial/ownership/beneficial/services/ownership_calculator.py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src/api/pilot_evaluate_console.py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tests/test_kyc_service.py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tests/test_kyb_engine.py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tests/test_gate03_ubo_contract.py</w:t>
      </w:r>
    </w:p>
    <w:p>
      <w:pPr>
        <w:pStyle w:val="Heading2"/>
      </w:pPr>
      <w:bookmarkStart w:id="24" w:name="_a29ef6e982cddc5f56691ec4a802430b6c0e626"/>
      <w:r>
        <w:t xml:space="preserve">Exit Condition</w:t>
      </w:r>
    </w:p>
    <w:p>
      <w:pPr>
        <w:pStyle w:val="FirstParagraph"/>
      </w:pPr>
      <w:r>
        <w:t xml:space="preserve">Wave 4 remains</w:t>
      </w:r>
      <w:r>
        <w:t xml:space="preserve"> </w:t>
      </w:r>
      <w:r>
        <w:rPr>
          <w:b/>
          <w:bCs/>
        </w:rPr>
        <w:t xml:space="preserve">OPEN / controlled</w:t>
      </w:r>
      <w:r>
        <w:t xml:space="preserve"> </w:t>
      </w:r>
      <w:r>
        <w:t xml:space="preserve">until the corporate missing-name and missing-UBO runtime cases are observed on the canonical pilot contract. No new feature work is authorized by this reconciliation alone.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Compliance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KYC KYB Wave4 Reconciliation</dc:title>
  <dc:creator>HISN Platform</dc:creator>
  <cp:keywords>HISN, FCDOS, financial crime, decision operating system</cp:keywords>
  <dcterms:created xsi:type="dcterms:W3CDTF">2026-10-13T12:57:03Z</dcterms:created>
  <dcterms:modified xsi:type="dcterms:W3CDTF">2026-10-13T12:57:03Z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