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KYC POLICY (VENDOR)</w:t>
      </w:r>
    </w:p>
    <w:p>
      <w:pPr>
        <w:pStyle w:val="Heading2"/>
      </w:pPr>
      <w:bookmarkStart w:id="9" w:name="_scope"/>
      <w:r>
        <w:t xml:space="preserve">1. Scope</w:t>
      </w:r>
    </w:p>
    <w:p>
      <w:pPr>
        <w:pStyle w:val="FirstParagraph"/>
      </w:pPr>
      <w:r>
        <w:t xml:space="preserve">Onboarding customers, partners</w:t>
      </w:r>
    </w:p>
    <w:p>
      <w:pPr>
        <w:pStyle w:val="Heading2"/>
      </w:pPr>
      <w:bookmarkStart w:id="10" w:name="_identification"/>
      <w:r>
        <w:t xml:space="preserve">2. Identification</w:t>
      </w:r>
    </w:p>
    <w:p>
      <w:pPr>
        <w:pStyle w:val="FirstParagraph"/>
      </w:pPr>
      <w:r>
        <w:t xml:space="preserve">Commercial registration, licenses</w:t>
      </w:r>
    </w:p>
    <w:p>
      <w:pPr>
        <w:pStyle w:val="Heading2"/>
      </w:pPr>
      <w:bookmarkStart w:id="11" w:name="_60b07f7d7e4dfcaf1729b3680f9726013df3b36"/>
      <w:r>
        <w:t xml:space="preserve">3. Beneficial Ownership</w:t>
      </w:r>
    </w:p>
    <w:p>
      <w:pPr>
        <w:pStyle w:val="FirstParagraph"/>
      </w:pPr>
      <w:r>
        <w:t xml:space="preserve">UBO &gt; 25%</w:t>
      </w:r>
    </w:p>
    <w:p>
      <w:pPr>
        <w:pStyle w:val="Heading2"/>
      </w:pPr>
      <w:bookmarkStart w:id="12" w:name="_verification"/>
      <w:r>
        <w:t xml:space="preserve">4. Verification</w:t>
      </w:r>
    </w:p>
    <w:p>
      <w:pPr>
        <w:pStyle w:val="FirstParagraph"/>
      </w:pPr>
      <w:r>
        <w:t xml:space="preserve">Documents + third-party</w:t>
      </w:r>
    </w:p>
    <w:p>
      <w:pPr>
        <w:pStyle w:val="Heading2"/>
      </w:pPr>
      <w:bookmarkStart w:id="13" w:name="_a6d7ce027861bb9252b5843e006d1215b4f1bf1"/>
      <w:r>
        <w:t xml:space="preserve">5. Risk Rating</w:t>
      </w:r>
    </w:p>
    <w:p>
      <w:pPr>
        <w:pStyle w:val="FirstParagraph"/>
      </w:pPr>
      <w:r>
        <w:t xml:space="preserve">Low / Medium / High</w:t>
      </w:r>
    </w:p>
    <w:p>
      <w:pPr>
        <w:pStyle w:val="Heading2"/>
      </w:pPr>
      <w:bookmarkStart w:id="14" w:name="_707c328f595ff6f7622f6c19ad8a8c80cd53099"/>
      <w:r>
        <w:t xml:space="preserve">6. Enhanced DD</w:t>
      </w:r>
    </w:p>
    <w:p>
      <w:pPr>
        <w:pStyle w:val="FirstParagraph"/>
      </w:pPr>
      <w:r>
        <w:t xml:space="preserve">High-risk only</w:t>
      </w:r>
    </w:p>
    <w:p>
      <w:pPr>
        <w:pStyle w:val="Heading2"/>
      </w:pPr>
      <w:bookmarkStart w:id="15" w:name="_0893a2d4c4a44d5e29e1e21c117755a055c9c12"/>
      <w:r>
        <w:t xml:space="preserve">7. Ongoing Monitoring</w:t>
      </w:r>
    </w:p>
    <w:p>
      <w:pPr>
        <w:pStyle w:val="FirstParagraph"/>
      </w:pPr>
      <w:r>
        <w:t xml:space="preserve">Annual refresh</w:t>
      </w:r>
    </w:p>
    <w:p>
      <w:pPr>
        <w:pStyle w:val="Heading2"/>
      </w:pPr>
      <w:bookmarkStart w:id="16" w:name="_bdd266673adf78f17f288208750b4319e9b06d7"/>
      <w:r>
        <w:t xml:space="preserve">8. Record Retention</w:t>
      </w:r>
    </w:p>
    <w:p>
      <w:pPr>
        <w:pStyle w:val="FirstParagraph"/>
      </w:pPr>
      <w:r>
        <w:t xml:space="preserve">10 years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KYC Vendor Policy</dc:title>
  <dc:creator>HISN Platform</dc:creator>
  <cp:keywords>HISN, FCDOS, financial crime, decision operating system</cp:keywords>
  <dcterms:created xsi:type="dcterms:W3CDTF">2026-10-14T06:28:32Z</dcterms:created>
  <dcterms:modified xsi:type="dcterms:W3CDTF">2026-10-14T06:28:32Z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