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2469123658bc3c7bb1be9ff5a5715399f2f1bff"/>
      <w:r>
        <w:t xml:space="preserve">HISN Regulatory Decision Contract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Canonical implementation contract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HISN Architecture Bible</w:t>
      </w:r>
      <w:r>
        <w:br/>
      </w:r>
      <w:r>
        <w:rPr>
          <w:b/>
          <w:bCs/>
        </w:rPr>
        <w:t xml:space="preserve">Effective:</w:t>
      </w:r>
      <w:r>
        <w:t xml:space="preserve"> </w:t>
      </w:r>
      <w:r>
        <w:t xml:space="preserve">2026-09-04</w:t>
      </w:r>
      <w:r>
        <w:br/>
      </w:r>
      <w:r>
        <w:rPr>
          <w:b/>
          <w:bCs/>
        </w:rPr>
        <w:t xml:space="preserve">Contract version:</w:t>
      </w:r>
      <w:r>
        <w:t xml:space="preserve"> </w:t>
      </w:r>
      <w:r>
        <w:t xml:space="preserve">1.1</w:t>
      </w:r>
    </w:p>
    <w:p>
      <w:pPr>
        <w:pStyle w:val="Heading2"/>
      </w:pPr>
      <w:bookmarkStart w:id="10" w:name="_purpose"/>
      <w:r>
        <w:t xml:space="preserve">Purpose</w:t>
      </w:r>
    </w:p>
    <w:p>
      <w:pPr>
        <w:pStyle w:val="FirstParagraph"/>
      </w:pPr>
      <w:r>
        <w:t xml:space="preserve">Defines how regulatory provenance becomes executable decision context without creating a second regulatory SSOT.</w:t>
      </w:r>
    </w:p>
    <w:p>
      <w:pPr>
        <w:pStyle w:val="Heading2"/>
      </w:pPr>
      <w:bookmarkStart w:id="11" w:name="_flow"/>
      <w:r>
        <w:t xml:space="preserve">Flow</w:t>
      </w:r>
    </w:p>
    <w:p>
      <w:pPr>
        <w:pStyle w:val="FirstParagraph"/>
      </w:pPr>
      <w:r>
        <w:rPr>
          <w:rStyle w:val="VerbatimChar"/>
        </w:rPr>
        <w:t xml:space="preserve">Regulatory Source → Requirement → Control Objective → Policy → Scenario → Evidence → Decision → Action/Reporting → Audit</w:t>
      </w:r>
    </w:p>
    <w:p>
      <w:pPr>
        <w:pStyle w:val="Heading2"/>
      </w:pPr>
      <w:bookmarkStart w:id="12" w:name="_2c6cf4f8211014c7f2b4e1abe563aa0584337f3"/>
      <w:r>
        <w:t xml:space="preserve">Required Decision Context</w:t>
      </w:r>
    </w:p>
    <w:p>
      <w:pPr>
        <w:pStyle w:val="FirstParagraph"/>
      </w:pPr>
      <w:r>
        <w:t xml:space="preserve">A regulatory-aware decision SHOULD preserve:</w:t>
      </w:r>
    </w:p>
    <w:p>
      <w:pPr>
        <w:pStyle w:val="Compact"/>
        <w:numPr>
          <w:ilvl w:val="0"/>
          <w:numId w:val="1001"/>
        </w:numPr>
      </w:pPr>
      <w:r>
        <w:t xml:space="preserve">jurisdiction</w:t>
      </w:r>
    </w:p>
    <w:p>
      <w:pPr>
        <w:pStyle w:val="Compact"/>
        <w:numPr>
          <w:ilvl w:val="0"/>
          <w:numId w:val="1001"/>
        </w:numPr>
      </w:pPr>
      <w:r>
        <w:t xml:space="preserve">authority / regulator</w:t>
      </w:r>
    </w:p>
    <w:p>
      <w:pPr>
        <w:pStyle w:val="Compact"/>
        <w:numPr>
          <w:ilvl w:val="0"/>
          <w:numId w:val="1001"/>
        </w:numPr>
      </w:pPr>
      <w:r>
        <w:t xml:space="preserve">sector/entity type</w:t>
      </w:r>
    </w:p>
    <w:p>
      <w:pPr>
        <w:pStyle w:val="Compact"/>
        <w:numPr>
          <w:ilvl w:val="0"/>
          <w:numId w:val="1001"/>
        </w:numPr>
      </w:pPr>
      <w:r>
        <w:t xml:space="preserve">regulatory instrument</w:t>
      </w:r>
    </w:p>
    <w:p>
      <w:pPr>
        <w:pStyle w:val="Compact"/>
        <w:numPr>
          <w:ilvl w:val="0"/>
          <w:numId w:val="1001"/>
        </w:numPr>
      </w:pPr>
      <w:r>
        <w:t xml:space="preserve">official reference</w:t>
      </w:r>
    </w:p>
    <w:p>
      <w:pPr>
        <w:pStyle w:val="Compact"/>
        <w:numPr>
          <w:ilvl w:val="0"/>
          <w:numId w:val="1001"/>
        </w:numPr>
      </w:pPr>
      <w:r>
        <w:t xml:space="preserve">requirement/control reference</w:t>
      </w:r>
    </w:p>
    <w:p>
      <w:pPr>
        <w:pStyle w:val="Compact"/>
        <w:numPr>
          <w:ilvl w:val="0"/>
          <w:numId w:val="1001"/>
        </w:numPr>
      </w:pPr>
      <w:r>
        <w:t xml:space="preserve">article / section / paragraph where applicable</w:t>
      </w:r>
    </w:p>
    <w:p>
      <w:pPr>
        <w:pStyle w:val="Compact"/>
        <w:numPr>
          <w:ilvl w:val="0"/>
          <w:numId w:val="1001"/>
        </w:numPr>
      </w:pPr>
      <w:r>
        <w:t xml:space="preserve">policy identifier/version</w:t>
      </w:r>
    </w:p>
    <w:p>
      <w:pPr>
        <w:pStyle w:val="Compact"/>
        <w:numPr>
          <w:ilvl w:val="0"/>
          <w:numId w:val="1001"/>
        </w:numPr>
      </w:pPr>
      <w:r>
        <w:t xml:space="preserve">scenario identifier/version</w:t>
      </w:r>
    </w:p>
    <w:p>
      <w:pPr>
        <w:pStyle w:val="Compact"/>
        <w:numPr>
          <w:ilvl w:val="0"/>
          <w:numId w:val="1001"/>
        </w:numPr>
      </w:pPr>
      <w:r>
        <w:t xml:space="preserve">evidence references</w:t>
      </w:r>
    </w:p>
    <w:p>
      <w:pPr>
        <w:pStyle w:val="Compact"/>
        <w:numPr>
          <w:ilvl w:val="0"/>
          <w:numId w:val="1001"/>
        </w:numPr>
      </w:pPr>
      <w:r>
        <w:t xml:space="preserve">decision outcome</w:t>
      </w:r>
    </w:p>
    <w:p>
      <w:pPr>
        <w:pStyle w:val="Compact"/>
        <w:numPr>
          <w:ilvl w:val="0"/>
          <w:numId w:val="1001"/>
        </w:numPr>
      </w:pPr>
      <w:r>
        <w:t xml:space="preserve">rationale</w:t>
      </w:r>
    </w:p>
    <w:p>
      <w:pPr>
        <w:pStyle w:val="Compact"/>
        <w:numPr>
          <w:ilvl w:val="0"/>
          <w:numId w:val="1001"/>
        </w:numPr>
      </w:pPr>
      <w:r>
        <w:t xml:space="preserve">effective-from/effective-to context where applicable</w:t>
      </w:r>
    </w:p>
    <w:p>
      <w:pPr>
        <w:pStyle w:val="Compact"/>
        <w:numPr>
          <w:ilvl w:val="0"/>
          <w:numId w:val="1001"/>
        </w:numPr>
      </w:pPr>
      <w:r>
        <w:t xml:space="preserve">source URI and source hash where available</w:t>
      </w:r>
    </w:p>
    <w:p>
      <w:pPr>
        <w:pStyle w:val="Compact"/>
        <w:numPr>
          <w:ilvl w:val="0"/>
          <w:numId w:val="1001"/>
        </w:numPr>
      </w:pPr>
      <w:r>
        <w:t xml:space="preserve">audit identifiers</w:t>
      </w:r>
    </w:p>
    <w:p>
      <w:pPr>
        <w:pStyle w:val="Heading2"/>
      </w:pPr>
      <w:bookmarkStart w:id="13" w:name="_6012d330073ccbc3318ea374f6f9ee7c6768a98"/>
      <w:r>
        <w:t xml:space="preserve">Regulatory Basis object</w:t>
      </w:r>
    </w:p>
    <w:p>
      <w:pPr>
        <w:pStyle w:val="FirstParagraph"/>
      </w:pPr>
      <w:r>
        <w:t xml:space="preserve">The canonical decision contract supports a</w:t>
      </w:r>
      <w:r>
        <w:t xml:space="preserve"> </w:t>
      </w:r>
      <w:r>
        <w:rPr>
          <w:rStyle w:val="VerbatimChar"/>
        </w:rPr>
        <w:t xml:space="preserve">regulatory_basis</w:t>
      </w:r>
      <w:r>
        <w:t xml:space="preserve"> </w:t>
      </w:r>
      <w:r>
        <w:t xml:space="preserve">collection. Each item is traceability metadata and MUST contain: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ref_code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regulator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jurisdiction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instrument_type</w:t>
      </w:r>
    </w:p>
    <w:p>
      <w:pPr>
        <w:pStyle w:val="FirstParagraph"/>
      </w:pPr>
      <w:r>
        <w:t xml:space="preserve">Optional provenance fields include</w:t>
      </w:r>
      <w:r>
        <w:t xml:space="preserve"> </w:t>
      </w:r>
      <w:r>
        <w:rPr>
          <w:rStyle w:val="VerbatimChar"/>
        </w:rPr>
        <w:t xml:space="preserve">instrument_title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official_reference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article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paragraph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issue_date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effective_from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effective_to</w:t>
      </w:r>
      <w:r>
        <w:t xml:space="preserve">,</w:t>
      </w:r>
      <w:r>
        <w:t xml:space="preserve"> </w:t>
      </w: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control_id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source_uri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source_hash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applicability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provenance</w:t>
      </w:r>
      <w:r>
        <w:t xml:space="preserve">.</w:t>
      </w:r>
    </w:p>
    <w:p>
      <w:pPr>
        <w:pStyle w:val="BodyText"/>
      </w:pPr>
      <w:r>
        <w:t xml:space="preserve">Legal source text is</w:t>
      </w:r>
      <w:r>
        <w:t xml:space="preserve"> </w:t>
      </w:r>
      <w:r>
        <w:rPr>
          <w:b/>
          <w:bCs/>
        </w:rPr>
        <w:t xml:space="preserve">not duplicated in the decision contract</w:t>
      </w:r>
      <w:r>
        <w:t xml:space="preserve">. Fields such as</w:t>
      </w:r>
      <w:r>
        <w:t xml:space="preserve"> </w:t>
      </w:r>
      <w:r>
        <w:rPr>
          <w:rStyle w:val="VerbatimChar"/>
        </w:rPr>
        <w:t xml:space="preserve">law_text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are stripped at normalization time. The authoritative source/registry remains the source of the full text.</w:t>
      </w:r>
    </w:p>
    <w:p>
      <w:pPr>
        <w:pStyle w:val="Heading2"/>
      </w:pPr>
      <w:bookmarkStart w:id="14" w:name="_2c31f37d42c2a2b8bdaafaaca5d6b66c2c94d36"/>
      <w:r>
        <w:t xml:space="preserve">Temporal integrity</w:t>
      </w:r>
    </w:p>
    <w:p>
      <w:pPr>
        <w:pStyle w:val="FirstParagraph"/>
      </w:pPr>
      <w:r>
        <w:t xml:space="preserve">The reference/version captured for a decision is historical lineage. A later regulatory amendment creates a new version; it must not mutate the historical decision record.</w:t>
      </w:r>
    </w:p>
    <w:p>
      <w:pPr>
        <w:pStyle w:val="Heading2"/>
      </w:pPr>
      <w:bookmarkStart w:id="15" w:name="_ownership"/>
      <w:r>
        <w:t xml:space="preserve">Ownership</w:t>
      </w:r>
    </w:p>
    <w:p>
      <w:pPr>
        <w:pStyle w:val="Compact"/>
        <w:numPr>
          <w:ilvl w:val="0"/>
          <w:numId w:val="1003"/>
        </w:numPr>
      </w:pPr>
      <w:r>
        <w:t xml:space="preserve">Architecture Bible owns regulatory interpretation and source provenance.</w:t>
      </w:r>
    </w:p>
    <w:p>
      <w:pPr>
        <w:pStyle w:val="Compact"/>
        <w:numPr>
          <w:ilvl w:val="0"/>
          <w:numId w:val="1003"/>
        </w:numPr>
      </w:pPr>
      <w:r>
        <w:t xml:space="preserve">Platform owns executable schemas, policy evaluation, decision runtime, evidence linkage and audit behavior.</w:t>
      </w:r>
    </w:p>
    <w:p>
      <w:pPr>
        <w:pStyle w:val="Compact"/>
        <w:numPr>
          <w:ilvl w:val="0"/>
          <w:numId w:val="1003"/>
        </w:numPr>
      </w:pPr>
      <w:r>
        <w:t xml:space="preserve">Frontend consumes the resulting contract; it does not reinterpret regulation.</w:t>
      </w:r>
    </w:p>
    <w:p>
      <w:pPr>
        <w:pStyle w:val="Compact"/>
        <w:numPr>
          <w:ilvl w:val="0"/>
          <w:numId w:val="1003"/>
        </w:numPr>
      </w:pPr>
      <w:r>
        <w:t xml:space="preserve">Fares supplies banking events/scenarios; it does not define regulatory truth.</w:t>
      </w:r>
    </w:p>
    <w:p>
      <w:pPr>
        <w:pStyle w:val="Heading2"/>
      </w:pPr>
      <w:bookmarkStart w:id="16" w:name="_6d11ceff08b6453743547e262250634070372de"/>
      <w:r>
        <w:t xml:space="preserve">Non-Goals</w:t>
      </w:r>
    </w:p>
    <w:p>
      <w:pPr>
        <w:pStyle w:val="FirstParagraph"/>
      </w:pPr>
      <w:r>
        <w:t xml:space="preserve">This contract does not create a second regulation database, duplicate Decision DNA, or move legal interpretation into application code.</w:t>
      </w:r>
    </w:p>
    <w:p>
      <w:pPr>
        <w:pStyle w:val="Heading2"/>
      </w:pPr>
      <w:bookmarkStart w:id="17" w:name="_verification"/>
      <w:r>
        <w:t xml:space="preserve">Verification</w:t>
      </w:r>
    </w:p>
    <w:p>
      <w:pPr>
        <w:pStyle w:val="FirstParagraph"/>
      </w:pPr>
      <w:r>
        <w:t xml:space="preserve">Every implementation change affecting this contract must have contract tests and regression coverage before being treated as production-ready.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REGULATORY DECISION CONTRACT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