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9" w:name="_b690de2a7ace4de618b843343d40939febabaf9"/>
      <w:r>
        <w:t xml:space="preserve">HISN Pilot — Wave 6 Cross-Engine Decision Integrity</w:t>
      </w:r>
    </w:p>
    <w:p>
      <w:pPr>
        <w:pStyle w:val="Heading2"/>
      </w:pPr>
      <w:bookmarkStart w:id="10" w:name="_8d8b15dff60a36e7cf48236182175390745d3fb"/>
      <w:r>
        <w:t xml:space="preserve">Classification Rules</w:t>
      </w:r>
    </w:p>
    <w:p>
      <w:pPr>
        <w:pStyle w:val="Compact"/>
        <w:numPr>
          <w:ilvl w:val="0"/>
          <w:numId w:val="1001"/>
        </w:numPr>
      </w:pPr>
      <w:r>
        <w:t xml:space="preserve">PASS: runtime behaved as required by pilot contract.</w:t>
      </w:r>
    </w:p>
    <w:p>
      <w:pPr>
        <w:pStyle w:val="Compact"/>
        <w:numPr>
          <w:ilvl w:val="0"/>
          <w:numId w:val="1001"/>
        </w:numPr>
      </w:pPr>
      <w:r>
        <w:t xml:space="preserve">OBSERVATION / DEFER: behavior is coherent but does not prove the targeted semantic property.</w:t>
      </w:r>
    </w:p>
    <w:p>
      <w:pPr>
        <w:pStyle w:val="Compact"/>
        <w:numPr>
          <w:ilvl w:val="0"/>
          <w:numId w:val="1001"/>
        </w:numPr>
      </w:pPr>
      <w:r>
        <w:t xml:space="preserve">PILOT BLOCKER: required scenario fails with unacceptable result.</w:t>
      </w:r>
    </w:p>
    <w:p>
      <w:pPr>
        <w:pStyle w:val="Compact"/>
        <w:numPr>
          <w:ilvl w:val="0"/>
          <w:numId w:val="1001"/>
        </w:numPr>
      </w:pPr>
      <w:r>
        <w:t xml:space="preserve">STOP &amp; ESCALATE: integrity/security/authorization/evidence failure.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1" w:name="_8f01af2b35c97473ff4920dbf2316e45ed288e2"/>
      <w:r>
        <w:t xml:space="preserve">W6-A — Composite Adverse Case</w:t>
      </w:r>
    </w:p>
    <w:p>
      <w:pPr>
        <w:pStyle w:val="FirstParagraph"/>
      </w:pPr>
      <w:r>
        <w:t xml:space="preserve">Transaction:</w:t>
      </w:r>
      <w:r>
        <w:t xml:space="preserve"> </w:t>
      </w:r>
      <w:r>
        <w:t xml:space="preserve">- amount: 250,000 SAR</w:t>
      </w:r>
      <w:r>
        <w:t xml:space="preserve"> </w:t>
      </w:r>
      <w:r>
        <w:t xml:space="preserve">- origin: IR</w:t>
      </w:r>
      <w:r>
        <w:t xml:space="preserve"> </w:t>
      </w:r>
      <w:r>
        <w:t xml:space="preserve">- destination: SA</w:t>
      </w:r>
      <w:r>
        <w:t xml:space="preserve"> </w:t>
      </w:r>
      <w:r>
        <w:t xml:space="preserve">- selected engines: AML, Fraud, Sanctions, KYC, KYB, Graph</w:t>
      </w:r>
      <w:r>
        <w:t xml:space="preserve"> </w:t>
      </w:r>
      <w:r>
        <w:t xml:space="preserve">- sender: corporate</w:t>
      </w:r>
      <w:r>
        <w:t xml:space="preserve"> </w:t>
      </w:r>
      <w:r>
        <w:t xml:space="preserve">- UBO: UNVERIFIED / pilot_probe</w:t>
      </w:r>
      <w:r>
        <w:t xml:space="preserve"> </w:t>
      </w:r>
      <w:r>
        <w:t xml:space="preserve">- fraud context: urgent transfer + new device + new location</w:t>
      </w:r>
    </w:p>
    <w:p>
      <w:pPr>
        <w:pStyle w:val="BodyText"/>
      </w:pPr>
      <w:r>
        <w:t xml:space="preserve">Runtime result:</w:t>
      </w:r>
      <w:r>
        <w:t xml:space="preserve"> </w:t>
      </w:r>
      <w:r>
        <w:t xml:space="preserve">- Decision:</w:t>
      </w:r>
      <w:r>
        <w:t xml:space="preserve"> </w:t>
      </w:r>
      <w:r>
        <w:rPr>
          <w:rStyle w:val="VerbatimChar"/>
        </w:rPr>
        <w:t xml:space="preserve">DEC-B8D5739D</w:t>
      </w:r>
      <w:r>
        <w:t xml:space="preserve"> </w:t>
      </w:r>
      <w:r>
        <w:t xml:space="preserve">- Action:</w:t>
      </w:r>
      <w:r>
        <w:t xml:space="preserve"> </w:t>
      </w:r>
      <w:r>
        <w:rPr>
          <w:rStyle w:val="VerbatimChar"/>
        </w:rPr>
        <w:t xml:space="preserve">BLOCK</w:t>
      </w:r>
      <w:r>
        <w:t xml:space="preserve"> </w:t>
      </w:r>
      <w:r>
        <w:t xml:space="preserve">- Risk score:</w:t>
      </w:r>
      <w:r>
        <w:t xml:space="preserve"> </w:t>
      </w:r>
      <w:r>
        <w:rPr>
          <w:rStyle w:val="VerbatimChar"/>
        </w:rPr>
        <w:t xml:space="preserve">0.54</w:t>
      </w:r>
      <w:r>
        <w:t xml:space="preserve"> </w:t>
      </w:r>
      <w:r>
        <w:t xml:space="preserve">- Risk level: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- Findings: 6</w:t>
      </w:r>
      <w:r>
        <w:t xml:space="preserve"> </w:t>
      </w:r>
      <w:r>
        <w:t xml:space="preserve">- Evidence items: 6</w:t>
      </w:r>
      <w:r>
        <w:t xml:space="preserve"> </w:t>
      </w:r>
      <w:r>
        <w:t xml:space="preserve">- Decision persisted: true</w:t>
      </w:r>
      <w:r>
        <w:t xml:space="preserve"> </w:t>
      </w:r>
      <w:r>
        <w:t xml:space="preserve">- Decision DNA persisted: true</w:t>
      </w:r>
      <w:r>
        <w:t xml:space="preserve"> </w:t>
      </w:r>
      <w:r>
        <w:t xml:space="preserve">- Audit persisted: true</w:t>
      </w:r>
      <w:r>
        <w:t xml:space="preserve"> </w:t>
      </w:r>
      <w:r>
        <w:t xml:space="preserve">- Audit integrity: 5-event chain valid</w:t>
      </w:r>
      <w:r>
        <w:t xml:space="preserve"> </w:t>
      </w:r>
      <w:r>
        <w:t xml:space="preserve">- Execution time: 131 ms</w:t>
      </w:r>
    </w:p>
    <w:p>
      <w:pPr>
        <w:pStyle w:val="BodyText"/>
      </w:pPr>
      <w:r>
        <w:t xml:space="preserve">Observed findings:</w:t>
      </w:r>
      <w:r>
        <w:t xml:space="preserve"> </w:t>
      </w:r>
      <w:r>
        <w:t xml:space="preserve">- AML</w:t>
      </w:r>
      <w:r>
        <w:t xml:space="preserve"> </w:t>
      </w:r>
      <w:r>
        <w:rPr>
          <w:rStyle w:val="VerbatimChar"/>
        </w:rPr>
        <w:t xml:space="preserve">large_amount</w:t>
      </w:r>
      <w:r>
        <w:t xml:space="preserve"> </w:t>
      </w:r>
      <w:r>
        <w:t xml:space="preserve">= 0.30</w:t>
      </w:r>
      <w:r>
        <w:t xml:space="preserve"> </w:t>
      </w:r>
      <w:r>
        <w:t xml:space="preserve">- Fraud</w:t>
      </w:r>
      <w:r>
        <w:t xml:space="preserve"> </w:t>
      </w:r>
      <w:r>
        <w:rPr>
          <w:rStyle w:val="VerbatimChar"/>
        </w:rPr>
        <w:t xml:space="preserve">fraud_social_engineering</w:t>
      </w:r>
      <w:r>
        <w:t xml:space="preserve"> </w:t>
      </w:r>
      <w:r>
        <w:t xml:space="preserve">= 0.90</w:t>
      </w:r>
      <w:r>
        <w:t xml:space="preserve"> </w:t>
      </w:r>
      <w:r>
        <w:t xml:space="preserve">- Fraud</w:t>
      </w:r>
      <w:r>
        <w:t xml:space="preserve"> </w:t>
      </w:r>
      <w:r>
        <w:rPr>
          <w:rStyle w:val="VerbatimChar"/>
        </w:rPr>
        <w:t xml:space="preserve">fraud_identity_theft</w:t>
      </w:r>
      <w:r>
        <w:t xml:space="preserve"> </w:t>
      </w:r>
      <w:r>
        <w:t xml:space="preserve">= 0.80</w:t>
      </w:r>
      <w:r>
        <w:t xml:space="preserve"> </w:t>
      </w:r>
      <w:r>
        <w:t xml:space="preserve">- Sanctions</w:t>
      </w:r>
      <w:r>
        <w:t xml:space="preserve"> </w:t>
      </w:r>
      <w:r>
        <w:rPr>
          <w:rStyle w:val="VerbatimChar"/>
        </w:rPr>
        <w:t xml:space="preserve">watchlist_match</w:t>
      </w:r>
      <w:r>
        <w:t xml:space="preserve"> </w:t>
      </w:r>
      <w:r>
        <w:t xml:space="preserve">= 0.95</w:t>
      </w:r>
      <w:r>
        <w:t xml:space="preserve"> </w:t>
      </w:r>
      <w:r>
        <w:t xml:space="preserve">- KYC</w:t>
      </w:r>
      <w:r>
        <w:t xml:space="preserve"> </w:t>
      </w:r>
      <w:r>
        <w:rPr>
          <w:rStyle w:val="VerbatimChar"/>
        </w:rPr>
        <w:t xml:space="preserve">high_risk_nationality</w:t>
      </w:r>
      <w:r>
        <w:t xml:space="preserve"> </w:t>
      </w:r>
      <w:r>
        <w:t xml:space="preserve">= 0.80</w:t>
      </w:r>
      <w:r>
        <w:t xml:space="preserve"> </w:t>
      </w:r>
      <w:r>
        <w:t xml:space="preserve">- KYB</w:t>
      </w:r>
      <w:r>
        <w:t xml:space="preserve"> </w:t>
      </w:r>
      <w:r>
        <w:rPr>
          <w:rStyle w:val="VerbatimChar"/>
        </w:rPr>
        <w:t xml:space="preserve">kyb_ubo_unverified</w:t>
      </w:r>
      <w:r>
        <w:t xml:space="preserve"> </w:t>
      </w:r>
      <w:r>
        <w:t xml:space="preserve">= 0.35</w:t>
      </w:r>
      <w:r>
        <w:t xml:space="preserve"> </w:t>
      </w:r>
      <w:r>
        <w:t xml:space="preserve">- Graph: selected but produced no finding; graph detection remains untrusted under Wave 5 Issue #63.</w:t>
      </w:r>
    </w:p>
    <w:p>
      <w:pPr>
        <w:pStyle w:val="Heading2"/>
      </w:pPr>
      <w:bookmarkStart w:id="12" w:name="_interpretation"/>
      <w:r>
        <w:t xml:space="preserve">Interpretation</w:t>
      </w:r>
    </w:p>
    <w:p>
      <w:pPr>
        <w:pStyle w:val="FirstParagraph"/>
      </w:pPr>
      <w:r>
        <w:t xml:space="preserve">The final BLOCK is consistent with the observed sanctions policy precedence. The audit timeline explicitly records</w:t>
      </w:r>
      <w:r>
        <w:t xml:space="preserve"> </w:t>
      </w:r>
      <w:r>
        <w:rPr>
          <w:rStyle w:val="VerbatimChar"/>
        </w:rPr>
        <w:t xml:space="preserve">AML_SANCTIONS</w:t>
      </w:r>
      <w:r>
        <w:t xml:space="preserve"> </w:t>
      </w:r>
      <w:r>
        <w:t xml:space="preserve">as the matched blocking policy.</w:t>
      </w:r>
    </w:p>
    <w:p>
      <w:pPr>
        <w:pStyle w:val="BodyText"/>
      </w:pPr>
      <w:r>
        <w:t xml:space="preserve">The numeric risk score</w:t>
      </w:r>
      <w:r>
        <w:t xml:space="preserve"> </w:t>
      </w:r>
      <w:r>
        <w:rPr>
          <w:rStyle w:val="VerbatimChar"/>
        </w:rPr>
        <w:t xml:space="preserve">0.54</w:t>
      </w:r>
      <w:r>
        <w:t xml:space="preserve"> </w:t>
      </w:r>
      <w:r>
        <w:t xml:space="preserve">demonstrates that engine contributions are still being aggregated into a medium score rather than directly representing the strongest individual signal. This case therefore proves cross-engine signal collection and policy precedence, but it does not by itself prove anti-dilution decision semantics.</w:t>
      </w:r>
    </w:p>
    <w:p>
      <w:pPr>
        <w:pStyle w:val="BodyText"/>
      </w:pPr>
      <w:r>
        <w:t xml:space="preserve">The effective aggregate is consistent with six selected-engine contributions, including a neutral Graph contribution; this remains subject to DEV-RISK-SEM-001 and is not an endorsed future policy.</w:t>
      </w:r>
    </w:p>
    <w:p>
      <w:pPr>
        <w:pStyle w:val="Heading2"/>
      </w:pPr>
      <w:bookmarkStart w:id="13" w:name="_2a1bf577762b5584b7501f38ed71c375f563243"/>
      <w:r>
        <w:t xml:space="preserve">Evidence Integrity Observation</w:t>
      </w:r>
    </w:p>
    <w:p>
      <w:pPr>
        <w:pStyle w:val="FirstParagraph"/>
      </w:pPr>
      <w:r>
        <w:t xml:space="preserve">Fraud, Sanctions, KYC, and KYB evidence objects continue to show</w:t>
      </w:r>
      <w:r>
        <w:t xml:space="preserve"> </w:t>
      </w:r>
      <w:r>
        <w:rPr>
          <w:rStyle w:val="VerbatimChar"/>
        </w:rPr>
        <w:t xml:space="preserve">transaction_id: null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case_id: null</w:t>
      </w:r>
      <w:r>
        <w:t xml:space="preserve"> </w:t>
      </w:r>
      <w:r>
        <w:t xml:space="preserve">in the nested evidence representation, while the decision and audit timeline correctly carry the transaction identifier. This is a Decision Passport / lineage observation, not a W6 blocking failure.</w:t>
      </w:r>
    </w:p>
    <w:p>
      <w:pPr>
        <w:pStyle w:val="Heading2"/>
      </w:pPr>
      <w:bookmarkStart w:id="14" w:name="_decision"/>
      <w:r>
        <w:t xml:space="preserve">Decision</w:t>
      </w:r>
    </w:p>
    <w:p>
      <w:pPr>
        <w:pStyle w:val="Compact"/>
        <w:numPr>
          <w:ilvl w:val="0"/>
          <w:numId w:val="1002"/>
        </w:numPr>
      </w:pPr>
      <w:r>
        <w:t xml:space="preserve">Composite runtime execution: PASS</w:t>
      </w:r>
    </w:p>
    <w:p>
      <w:pPr>
        <w:pStyle w:val="Compact"/>
        <w:numPr>
          <w:ilvl w:val="0"/>
          <w:numId w:val="1002"/>
        </w:numPr>
      </w:pPr>
      <w:r>
        <w:t xml:space="preserve">Multi-engine finding collection: PASS</w:t>
      </w:r>
    </w:p>
    <w:p>
      <w:pPr>
        <w:pStyle w:val="Compact"/>
        <w:numPr>
          <w:ilvl w:val="0"/>
          <w:numId w:val="1002"/>
        </w:numPr>
      </w:pPr>
      <w:r>
        <w:t xml:space="preserve">Evidence attachment: PASS</w:t>
      </w:r>
    </w:p>
    <w:p>
      <w:pPr>
        <w:pStyle w:val="Compact"/>
        <w:numPr>
          <w:ilvl w:val="0"/>
          <w:numId w:val="1002"/>
        </w:numPr>
      </w:pPr>
      <w:r>
        <w:t xml:space="preserve">Policy precedence: PASS</w:t>
      </w:r>
    </w:p>
    <w:p>
      <w:pPr>
        <w:pStyle w:val="Compact"/>
        <w:numPr>
          <w:ilvl w:val="0"/>
          <w:numId w:val="1002"/>
        </w:numPr>
      </w:pPr>
      <w:r>
        <w:t xml:space="preserve">Decision persistence and audit integrity: PASS</w:t>
      </w:r>
    </w:p>
    <w:p>
      <w:pPr>
        <w:pStyle w:val="Compact"/>
        <w:numPr>
          <w:ilvl w:val="0"/>
          <w:numId w:val="1002"/>
        </w:numPr>
      </w:pPr>
      <w:r>
        <w:t xml:space="preserve">Anti-dilution / semantic-state-aware authorization: NOT YET PROVEN</w:t>
      </w:r>
    </w:p>
    <w:p>
      <w:pPr>
        <w:pStyle w:val="Compact"/>
        <w:numPr>
          <w:ilvl w:val="0"/>
          <w:numId w:val="1002"/>
        </w:numPr>
      </w:pPr>
      <w:r>
        <w:t xml:space="preserve">Graph contribution: UNPROVEN / DEFERRED due Issue #63</w:t>
      </w:r>
    </w:p>
    <w:p>
      <w:pPr>
        <w:pStyle w:val="Compact"/>
        <w:numPr>
          <w:ilvl w:val="0"/>
          <w:numId w:val="1002"/>
        </w:numPr>
      </w:pPr>
      <w:r>
        <w:t xml:space="preserve">No production code changes</w:t>
      </w:r>
    </w:p>
    <w:p>
      <w:pPr>
        <w:pStyle w:val="Compact"/>
        <w:numPr>
          <w:ilvl w:val="0"/>
          <w:numId w:val="1002"/>
        </w:numPr>
      </w:pPr>
      <w:r>
        <w:t xml:space="preserve">No test changes</w:t>
      </w:r>
    </w:p>
    <w:p>
      <w:pPr>
        <w:pStyle w:val="Heading2"/>
      </w:pPr>
      <w:bookmarkStart w:id="15" w:name="_7d672cae68be194bfed60445501aee2b135709e"/>
      <w:r>
        <w:t xml:space="preserve">Next Probe</w:t>
      </w:r>
    </w:p>
    <w:p>
      <w:pPr>
        <w:pStyle w:val="FirstParagraph"/>
      </w:pPr>
      <w:r>
        <w:t xml:space="preserve">Run W6-B with the same adverse AML/Fraud/KYC/KYB conditions but a clean sanctions subject. This isolates aggregation/authorization behavior from the sanctions hard-block policy.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Compliance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Wave6 Cross Engine Decision Integrity</dc:title>
  <dc:creator>HISN Platform</dc:creator>
  <cp:keywords>HISN, FCDOS, financial crime, decision operating system</cp:keywords>
  <dcterms:created xsi:type="dcterms:W3CDTF">2026-10-13T12:57:04Z</dcterms:created>
  <dcterms:modified xsi:type="dcterms:W3CDTF">2026-10-13T12:57:04Z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