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01_Integrated_Financial_Model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6445de4752801e9e31cf47f3ff4b9af4c2fb8a7"/>
      <w:r>
        <w:t xml:space="preserve">INTEGRATED FINANCIAL MODEL — 5 YEAR</w:t>
      </w:r>
    </w:p>
    <w:p>
      <w:pPr>
        <w:pStyle w:val="FirstParagraph"/>
      </w:pPr>
      <w:r>
        <w:rPr>
          <w:b/>
          <w:bCs/>
        </w:rPr>
        <w:t xml:space="preserve">HISN FCDOS | Financial Model</w:t>
      </w:r>
      <w:r>
        <w:t xml:space="preserve"> </w:t>
      </w:r>
      <w:r>
        <w:rPr>
          <w:b/>
          <w:bCs/>
        </w:rPr>
        <w:t xml:space="preserve">Currency:</w:t>
      </w:r>
      <w:r>
        <w:t xml:space="preserve"> </w:t>
      </w:r>
      <w:r>
        <w:t xml:space="preserve">SAR (thousands) |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14 October 2026</w:t>
      </w:r>
      <w:r>
        <w:t xml:space="preserve"> </w:t>
      </w:r>
      <w:r>
        <w:rPr>
          <w:b/>
          <w:bCs/>
        </w:rPr>
        <w:t xml:space="preserve">Standard:</w:t>
      </w:r>
      <w:r>
        <w:t xml:space="preserve"> </w:t>
      </w:r>
      <w:r>
        <w:t xml:space="preserve">Big Four Institutional Grade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24178e17815d7ed05207769f6e2fdf5de730a75"/>
      <w:r>
        <w:t xml:space="preserve">1. Executive Summary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  <w:r>
              <w:t xml:space="preserve">Y2</w:t>
            </w:r>
          </w:p>
        </w:tc>
        <w:tc>
          <w:tcPr/>
          <w:p>
            <w:pPr>
              <w:pStyle w:val="Compact"/>
            </w:pPr>
            <w:r>
              <w:t xml:space="preserve">Y3</w:t>
            </w:r>
          </w:p>
        </w:tc>
        <w:tc>
          <w:tcPr/>
          <w:p>
            <w:pPr>
              <w:pStyle w:val="Compact"/>
            </w:pPr>
            <w:r>
              <w:t xml:space="preserve">Y4</w:t>
            </w:r>
          </w:p>
        </w:tc>
        <w:tc>
          <w:tcPr/>
          <w:p>
            <w:pPr>
              <w:pStyle w:val="Compact"/>
            </w:pPr>
            <w:r>
              <w:t xml:space="preserve">Y5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Revenue</w:t>
            </w:r>
          </w:p>
        </w:tc>
        <w:tc>
          <w:tcPr/>
          <w:p>
            <w:pPr>
              <w:pStyle w:val="Compact"/>
            </w:pPr>
            <w:r>
              <w:t xml:space="preserve">750</w:t>
            </w:r>
          </w:p>
        </w:tc>
        <w:tc>
          <w:tcPr/>
          <w:p>
            <w:pPr>
              <w:pStyle w:val="Compact"/>
            </w:pPr>
            <w:r>
              <w:t xml:space="preserve">4,000</w:t>
            </w:r>
          </w:p>
        </w:tc>
        <w:tc>
          <w:tcPr/>
          <w:p>
            <w:pPr>
              <w:pStyle w:val="Compact"/>
            </w:pPr>
            <w:r>
              <w:t xml:space="preserve">13,000</w:t>
            </w:r>
          </w:p>
        </w:tc>
        <w:tc>
          <w:tcPr/>
          <w:p>
            <w:pPr>
              <w:pStyle w:val="Compact"/>
            </w:pPr>
            <w:r>
              <w:t xml:space="preserve">34,000</w:t>
            </w:r>
          </w:p>
        </w:tc>
        <w:tc>
          <w:tcPr/>
          <w:p>
            <w:pPr>
              <w:pStyle w:val="Compact"/>
            </w:pPr>
            <w:r>
              <w:t xml:space="preserve">77,000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Gross Profit</w:t>
            </w:r>
          </w:p>
        </w:tc>
        <w:tc>
          <w:tcPr/>
          <w:p>
            <w:pPr>
              <w:pStyle w:val="Compact"/>
            </w:pPr>
            <w:r>
              <w:t xml:space="preserve">600</w:t>
            </w:r>
          </w:p>
        </w:tc>
        <w:tc>
          <w:tcPr/>
          <w:p>
            <w:pPr>
              <w:pStyle w:val="Compact"/>
            </w:pPr>
            <w:r>
              <w:t xml:space="preserve">3,120</w:t>
            </w:r>
          </w:p>
        </w:tc>
        <w:tc>
          <w:tcPr/>
          <w:p>
            <w:pPr>
              <w:pStyle w:val="Compact"/>
            </w:pPr>
            <w:r>
              <w:t xml:space="preserve">10,140</w:t>
            </w:r>
          </w:p>
        </w:tc>
        <w:tc>
          <w:tcPr/>
          <w:p>
            <w:pPr>
              <w:pStyle w:val="Compact"/>
            </w:pPr>
            <w:r>
              <w:t xml:space="preserve">26,520</w:t>
            </w:r>
          </w:p>
        </w:tc>
        <w:tc>
          <w:tcPr/>
          <w:p>
            <w:pPr>
              <w:pStyle w:val="Compact"/>
            </w:pPr>
            <w:r>
              <w:t xml:space="preserve">60,060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EBITDA</w:t>
            </w:r>
          </w:p>
        </w:tc>
        <w:tc>
          <w:tcPr/>
          <w:p>
            <w:pPr>
              <w:pStyle w:val="Compact"/>
            </w:pPr>
            <w:r>
              <w:t xml:space="preserve">(5,400)</w:t>
            </w:r>
          </w:p>
        </w:tc>
        <w:tc>
          <w:tcPr/>
          <w:p>
            <w:pPr>
              <w:pStyle w:val="Compact"/>
            </w:pPr>
            <w:r>
              <w:t xml:space="preserve">(8,400)</w:t>
            </w:r>
          </w:p>
        </w:tc>
        <w:tc>
          <w:tcPr/>
          <w:p>
            <w:pPr>
              <w:pStyle w:val="Compact"/>
            </w:pPr>
            <w:r>
              <w:t xml:space="preserve">(10,500)</w:t>
            </w:r>
          </w:p>
        </w:tc>
        <w:tc>
          <w:tcPr/>
          <w:p>
            <w:pPr>
              <w:pStyle w:val="Compact"/>
            </w:pPr>
            <w:r>
              <w:t xml:space="preserve">(8,000)</w:t>
            </w:r>
          </w:p>
        </w:tc>
        <w:tc>
          <w:tcPr/>
          <w:p>
            <w:pPr>
              <w:pStyle w:val="Compact"/>
            </w:pPr>
            <w:r>
              <w:t xml:space="preserve">4,000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 Income</w:t>
            </w:r>
          </w:p>
        </w:tc>
        <w:tc>
          <w:tcPr/>
          <w:p>
            <w:pPr>
              <w:pStyle w:val="Compact"/>
            </w:pPr>
            <w:r>
              <w:t xml:space="preserve">(5,400)</w:t>
            </w:r>
          </w:p>
        </w:tc>
        <w:tc>
          <w:tcPr/>
          <w:p>
            <w:pPr>
              <w:pStyle w:val="Compact"/>
            </w:pPr>
            <w:r>
              <w:t xml:space="preserve">(8,400)</w:t>
            </w:r>
          </w:p>
        </w:tc>
        <w:tc>
          <w:tcPr/>
          <w:p>
            <w:pPr>
              <w:pStyle w:val="Compact"/>
            </w:pPr>
            <w:r>
              <w:t xml:space="preserve">(10,500)</w:t>
            </w:r>
          </w:p>
        </w:tc>
        <w:tc>
          <w:tcPr/>
          <w:p>
            <w:pPr>
              <w:pStyle w:val="Compact"/>
            </w:pPr>
            <w:r>
              <w:t xml:space="preserve">(8,000)</w:t>
            </w:r>
          </w:p>
        </w:tc>
        <w:tc>
          <w:tcPr/>
          <w:p>
            <w:pPr>
              <w:pStyle w:val="Compact"/>
            </w:pPr>
            <w:r>
              <w:t xml:space="preserve">2,800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Cash Balance</w:t>
            </w:r>
          </w:p>
        </w:tc>
        <w:tc>
          <w:tcPr/>
          <w:p>
            <w:pPr>
              <w:pStyle w:val="Compact"/>
            </w:pPr>
            <w:r>
              <w:t xml:space="preserve">2,100</w:t>
            </w:r>
          </w:p>
        </w:tc>
        <w:tc>
          <w:tcPr/>
          <w:p>
            <w:pPr>
              <w:pStyle w:val="Compact"/>
            </w:pPr>
            <w:r>
              <w:t xml:space="preserve">(6,300)</w:t>
            </w:r>
          </w:p>
        </w:tc>
        <w:tc>
          <w:tcPr/>
          <w:p>
            <w:pPr>
              <w:pStyle w:val="Compact"/>
            </w:pPr>
            <w:r>
              <w:t xml:space="preserve">(16,800)</w:t>
            </w:r>
          </w:p>
        </w:tc>
        <w:tc>
          <w:tcPr/>
          <w:p>
            <w:pPr>
              <w:pStyle w:val="Compact"/>
            </w:pPr>
            <w:r>
              <w:t xml:space="preserve">(24,800)</w:t>
            </w:r>
          </w:p>
        </w:tc>
        <w:tc>
          <w:tcPr/>
          <w:p>
            <w:pPr>
              <w:pStyle w:val="Compact"/>
            </w:pPr>
            <w:r>
              <w:t xml:space="preserve">(22,000)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Headcount</w:t>
            </w:r>
          </w:p>
        </w:tc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85</w:t>
            </w:r>
          </w:p>
        </w:tc>
      </w:tr>
    </w:tbl>
    <w:p>
      <w:pPr>
        <w:pStyle w:val="Heading2"/>
      </w:pPr>
      <w:bookmarkStart w:id="11" w:name="_8854add224ae5e69bdd9f7adb1c30c584b95859"/>
      <w:r>
        <w:t xml:space="preserve">2. Revenue Model</w:t>
      </w:r>
    </w:p>
    <w:p>
      <w:pPr>
        <w:pStyle w:val="Heading3"/>
      </w:pPr>
      <w:bookmarkStart w:id="12" w:name="_215dd4b2ab6acc31d234690ee5963d8bf663997"/>
      <w:r>
        <w:t xml:space="preserve">2.1 Revenue by Stream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Stream</w:t>
            </w:r>
          </w:p>
        </w:tc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  <w:r>
              <w:t xml:space="preserve">Y2</w:t>
            </w:r>
          </w:p>
        </w:tc>
        <w:tc>
          <w:tcPr/>
          <w:p>
            <w:pPr>
              <w:pStyle w:val="Compact"/>
            </w:pPr>
            <w:r>
              <w:t xml:space="preserve">Y3</w:t>
            </w:r>
          </w:p>
        </w:tc>
        <w:tc>
          <w:tcPr/>
          <w:p>
            <w:pPr>
              <w:pStyle w:val="Compact"/>
            </w:pPr>
            <w:r>
              <w:t xml:space="preserve">Y4</w:t>
            </w:r>
          </w:p>
        </w:tc>
        <w:tc>
          <w:tcPr/>
          <w:p>
            <w:pPr>
              <w:pStyle w:val="Compact"/>
            </w:pPr>
            <w:r>
              <w:t xml:space="preserve">Y5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Platform License</w:t>
            </w:r>
          </w:p>
        </w:tc>
        <w:tc>
          <w:tcPr/>
          <w:p>
            <w:pPr>
              <w:pStyle w:val="Compact"/>
            </w:pPr>
            <w:r>
              <w:t xml:space="preserve">450</w:t>
            </w:r>
          </w:p>
        </w:tc>
        <w:tc>
          <w:tcPr/>
          <w:p>
            <w:pPr>
              <w:pStyle w:val="Compact"/>
            </w:pPr>
            <w:r>
              <w:t xml:space="preserve">2,400</w:t>
            </w:r>
          </w:p>
        </w:tc>
        <w:tc>
          <w:tcPr/>
          <w:p>
            <w:pPr>
              <w:pStyle w:val="Compact"/>
            </w:pPr>
            <w:r>
              <w:t xml:space="preserve">7,800</w:t>
            </w:r>
          </w:p>
        </w:tc>
        <w:tc>
          <w:tcPr/>
          <w:p>
            <w:pPr>
              <w:pStyle w:val="Compact"/>
            </w:pPr>
            <w:r>
              <w:t xml:space="preserve">20,400</w:t>
            </w:r>
          </w:p>
        </w:tc>
        <w:tc>
          <w:tcPr/>
          <w:p>
            <w:pPr>
              <w:pStyle w:val="Compact"/>
            </w:pPr>
            <w:r>
              <w:t xml:space="preserve">46,200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Usage-Based</w:t>
            </w:r>
          </w:p>
        </w:tc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800</w:t>
            </w:r>
          </w:p>
        </w:tc>
        <w:tc>
          <w:tcPr/>
          <w:p>
            <w:pPr>
              <w:pStyle w:val="Compact"/>
            </w:pPr>
            <w:r>
              <w:t xml:space="preserve">2,600</w:t>
            </w:r>
          </w:p>
        </w:tc>
        <w:tc>
          <w:tcPr/>
          <w:p>
            <w:pPr>
              <w:pStyle w:val="Compact"/>
            </w:pPr>
            <w:r>
              <w:t xml:space="preserve">6,800</w:t>
            </w:r>
          </w:p>
        </w:tc>
        <w:tc>
          <w:tcPr/>
          <w:p>
            <w:pPr>
              <w:pStyle w:val="Compact"/>
            </w:pPr>
            <w:r>
              <w:t xml:space="preserve">15,400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Modules</w:t>
            </w:r>
          </w:p>
        </w:tc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480</w:t>
            </w:r>
          </w:p>
        </w:tc>
        <w:tc>
          <w:tcPr/>
          <w:p>
            <w:pPr>
              <w:pStyle w:val="Compact"/>
            </w:pPr>
            <w:r>
              <w:t xml:space="preserve">1,560</w:t>
            </w:r>
          </w:p>
        </w:tc>
        <w:tc>
          <w:tcPr/>
          <w:p>
            <w:pPr>
              <w:pStyle w:val="Compact"/>
            </w:pPr>
            <w:r>
              <w:t xml:space="preserve">4,080</w:t>
            </w:r>
          </w:p>
        </w:tc>
        <w:tc>
          <w:tcPr/>
          <w:p>
            <w:pPr>
              <w:pStyle w:val="Compact"/>
            </w:pPr>
            <w:r>
              <w:t xml:space="preserve">9,240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Services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320</w:t>
            </w:r>
          </w:p>
        </w:tc>
        <w:tc>
          <w:tcPr/>
          <w:p>
            <w:pPr>
              <w:pStyle w:val="Compact"/>
            </w:pPr>
            <w:r>
              <w:t xml:space="preserve">1,040</w:t>
            </w:r>
          </w:p>
        </w:tc>
        <w:tc>
          <w:tcPr/>
          <w:p>
            <w:pPr>
              <w:pStyle w:val="Compact"/>
            </w:pPr>
            <w:r>
              <w:t xml:space="preserve">2,720</w:t>
            </w:r>
          </w:p>
        </w:tc>
        <w:tc>
          <w:tcPr/>
          <w:p>
            <w:pPr>
              <w:pStyle w:val="Compact"/>
            </w:pPr>
            <w:r>
              <w:t xml:space="preserve">6,160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750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4,000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13,000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34,000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77,000</w:t>
            </w:r>
          </w:p>
        </w:tc>
      </w:tr>
    </w:tbl>
    <w:p>
      <w:pPr>
        <w:pStyle w:val="Heading3"/>
      </w:pPr>
      <w:bookmarkStart w:id="13" w:name="_41d29364a7a04b48e1d74396beb6bb6f56c4ce7"/>
      <w:r>
        <w:t xml:space="preserve">2.2 Customer Count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Segment</w:t>
            </w:r>
          </w:p>
        </w:tc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  <w:r>
              <w:t xml:space="preserve">Y2</w:t>
            </w:r>
          </w:p>
        </w:tc>
        <w:tc>
          <w:tcPr/>
          <w:p>
            <w:pPr>
              <w:pStyle w:val="Compact"/>
            </w:pPr>
            <w:r>
              <w:t xml:space="preserve">Y3</w:t>
            </w:r>
          </w:p>
        </w:tc>
        <w:tc>
          <w:tcPr/>
          <w:p>
            <w:pPr>
              <w:pStyle w:val="Compact"/>
            </w:pPr>
            <w:r>
              <w:t xml:space="preserve">Y4</w:t>
            </w:r>
          </w:p>
        </w:tc>
        <w:tc>
          <w:tcPr/>
          <w:p>
            <w:pPr>
              <w:pStyle w:val="Compact"/>
            </w:pPr>
            <w:r>
              <w:t xml:space="preserve">Y5</w:t>
            </w:r>
          </w:p>
        </w:tc>
      </w:tr>
      <w:tr>
        <w:tc>
          <w:tcPr/>
          <w:p>
            <w:pPr>
              <w:pStyle w:val="Compact"/>
            </w:pPr>
            <w:r>
              <w:t xml:space="preserve">Tier-1 Bank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Mid Bank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Digital Bank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Insurance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Exchange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</w:pPr>
            <w:r>
              <w:t xml:space="preserve">PSP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FinTech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35</w:t>
            </w:r>
          </w:p>
        </w:tc>
      </w:tr>
    </w:tbl>
    <w:p>
      <w:pPr>
        <w:pStyle w:val="Heading2"/>
      </w:pPr>
      <w:bookmarkStart w:id="14" w:name="_ae7a7fb5b2ede56a98af26dcb16ad182dc7f0eb"/>
      <w:r>
        <w:t xml:space="preserve">3. Cost Structure</w:t>
      </w:r>
    </w:p>
    <w:p>
      <w:pPr>
        <w:pStyle w:val="Heading3"/>
      </w:pPr>
      <w:bookmarkStart w:id="15" w:name="_7d22fdd1d8f2228985755c09352c43fc011704e"/>
      <w:r>
        <w:t xml:space="preserve">3.1 Cost of Revenue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  <w:r>
              <w:t xml:space="preserve">Y2</w:t>
            </w:r>
          </w:p>
        </w:tc>
        <w:tc>
          <w:tcPr/>
          <w:p>
            <w:pPr>
              <w:pStyle w:val="Compact"/>
            </w:pPr>
            <w:r>
              <w:t xml:space="preserve">Y3</w:t>
            </w:r>
          </w:p>
        </w:tc>
        <w:tc>
          <w:tcPr/>
          <w:p>
            <w:pPr>
              <w:pStyle w:val="Compact"/>
            </w:pPr>
            <w:r>
              <w:t xml:space="preserve">Y4</w:t>
            </w:r>
          </w:p>
        </w:tc>
        <w:tc>
          <w:tcPr/>
          <w:p>
            <w:pPr>
              <w:pStyle w:val="Compact"/>
            </w:pPr>
            <w:r>
              <w:t xml:space="preserve">Y5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Cloud &amp; Infra</w:t>
            </w:r>
          </w:p>
        </w:tc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520</w:t>
            </w:r>
          </w:p>
        </w:tc>
        <w:tc>
          <w:tcPr/>
          <w:p>
            <w:pPr>
              <w:pStyle w:val="Compact"/>
            </w:pPr>
            <w:r>
              <w:t xml:space="preserve">1,690</w:t>
            </w:r>
          </w:p>
        </w:tc>
        <w:tc>
          <w:tcPr/>
          <w:p>
            <w:pPr>
              <w:pStyle w:val="Compact"/>
            </w:pPr>
            <w:r>
              <w:t xml:space="preserve">4,420</w:t>
            </w:r>
          </w:p>
        </w:tc>
        <w:tc>
          <w:tcPr/>
          <w:p>
            <w:pPr>
              <w:pStyle w:val="Compact"/>
            </w:pPr>
            <w:r>
              <w:t xml:space="preserve">9,240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Support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360</w:t>
            </w:r>
          </w:p>
        </w:tc>
        <w:tc>
          <w:tcPr/>
          <w:p>
            <w:pPr>
              <w:pStyle w:val="Compact"/>
            </w:pPr>
            <w:r>
              <w:t xml:space="preserve">1,170</w:t>
            </w:r>
          </w:p>
        </w:tc>
        <w:tc>
          <w:tcPr/>
          <w:p>
            <w:pPr>
              <w:pStyle w:val="Compact"/>
            </w:pPr>
            <w:r>
              <w:t xml:space="preserve">3,060</w:t>
            </w:r>
          </w:p>
        </w:tc>
        <w:tc>
          <w:tcPr/>
          <w:p>
            <w:pPr>
              <w:pStyle w:val="Compact"/>
            </w:pPr>
            <w:r>
              <w:t xml:space="preserve">7,700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 COGS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150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880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2,860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7,480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16,940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Gross Margin:</w:t>
      </w:r>
      <w:r>
        <w:t xml:space="preserve"> </w:t>
      </w:r>
      <w:r>
        <w:t xml:space="preserve">80% → 78% → 78% → 78% → 78%</w:t>
      </w:r>
    </w:p>
    <w:p>
      <w:pPr>
        <w:pStyle w:val="Heading3"/>
      </w:pPr>
      <w:bookmarkStart w:id="16" w:name="_ead79c44afc668c87da4b345655cace57a29d32"/>
      <w:r>
        <w:t xml:space="preserve">3.2 Operating Expenses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  <w:r>
              <w:t xml:space="preserve">Y2</w:t>
            </w:r>
          </w:p>
        </w:tc>
        <w:tc>
          <w:tcPr/>
          <w:p>
            <w:pPr>
              <w:pStyle w:val="Compact"/>
            </w:pPr>
            <w:r>
              <w:t xml:space="preserve">Y3</w:t>
            </w:r>
          </w:p>
        </w:tc>
        <w:tc>
          <w:tcPr/>
          <w:p>
            <w:pPr>
              <w:pStyle w:val="Compact"/>
            </w:pPr>
            <w:r>
              <w:t xml:space="preserve">Y4</w:t>
            </w:r>
          </w:p>
        </w:tc>
        <w:tc>
          <w:tcPr/>
          <w:p>
            <w:pPr>
              <w:pStyle w:val="Compact"/>
            </w:pPr>
            <w:r>
              <w:t xml:space="preserve">Y5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R&amp;D</w:t>
            </w:r>
          </w:p>
        </w:tc>
        <w:tc>
          <w:tcPr/>
          <w:p>
            <w:pPr>
              <w:pStyle w:val="Compact"/>
            </w:pPr>
            <w:r>
              <w:t xml:space="preserve">3,500</w:t>
            </w:r>
          </w:p>
        </w:tc>
        <w:tc>
          <w:tcPr/>
          <w:p>
            <w:pPr>
              <w:pStyle w:val="Compact"/>
            </w:pPr>
            <w:r>
              <w:t xml:space="preserve">6,000</w:t>
            </w:r>
          </w:p>
        </w:tc>
        <w:tc>
          <w:tcPr/>
          <w:p>
            <w:pPr>
              <w:pStyle w:val="Compact"/>
            </w:pPr>
            <w:r>
              <w:t xml:space="preserve">10,000</w:t>
            </w:r>
          </w:p>
        </w:tc>
        <w:tc>
          <w:tcPr/>
          <w:p>
            <w:pPr>
              <w:pStyle w:val="Compact"/>
            </w:pPr>
            <w:r>
              <w:t xml:space="preserve">16,000</w:t>
            </w:r>
          </w:p>
        </w:tc>
        <w:tc>
          <w:tcPr/>
          <w:p>
            <w:pPr>
              <w:pStyle w:val="Compact"/>
            </w:pPr>
            <w:r>
              <w:t xml:space="preserve">25,000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Sales &amp; Marketing</w:t>
            </w:r>
          </w:p>
        </w:tc>
        <w:tc>
          <w:tcPr/>
          <w:p>
            <w:pPr>
              <w:pStyle w:val="Compact"/>
            </w:pPr>
            <w:r>
              <w:t xml:space="preserve">1,500</w:t>
            </w:r>
          </w:p>
        </w:tc>
        <w:tc>
          <w:tcPr/>
          <w:p>
            <w:pPr>
              <w:pStyle w:val="Compact"/>
            </w:pPr>
            <w:r>
              <w:t xml:space="preserve">3,500</w:t>
            </w:r>
          </w:p>
        </w:tc>
        <w:tc>
          <w:tcPr/>
          <w:p>
            <w:pPr>
              <w:pStyle w:val="Compact"/>
            </w:pPr>
            <w:r>
              <w:t xml:space="preserve">7,000</w:t>
            </w:r>
          </w:p>
        </w:tc>
        <w:tc>
          <w:tcPr/>
          <w:p>
            <w:pPr>
              <w:pStyle w:val="Compact"/>
            </w:pPr>
            <w:r>
              <w:t xml:space="preserve">12,000</w:t>
            </w:r>
          </w:p>
        </w:tc>
        <w:tc>
          <w:tcPr/>
          <w:p>
            <w:pPr>
              <w:pStyle w:val="Compact"/>
            </w:pPr>
            <w:r>
              <w:t xml:space="preserve">20,000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G&amp;A</w:t>
            </w:r>
          </w:p>
        </w:tc>
        <w:tc>
          <w:tcPr/>
          <w:p>
            <w:pPr>
              <w:pStyle w:val="Compact"/>
            </w:pPr>
            <w:r>
              <w:t xml:space="preserve">1,000</w:t>
            </w:r>
          </w:p>
        </w:tc>
        <w:tc>
          <w:tcPr/>
          <w:p>
            <w:pPr>
              <w:pStyle w:val="Compact"/>
            </w:pPr>
            <w:r>
              <w:t xml:space="preserve">2,000</w:t>
            </w:r>
          </w:p>
        </w:tc>
        <w:tc>
          <w:tcPr/>
          <w:p>
            <w:pPr>
              <w:pStyle w:val="Compact"/>
            </w:pPr>
            <w:r>
              <w:t xml:space="preserve">3,500</w:t>
            </w:r>
          </w:p>
        </w:tc>
        <w:tc>
          <w:tcPr/>
          <w:p>
            <w:pPr>
              <w:pStyle w:val="Compact"/>
            </w:pPr>
            <w:r>
              <w:t xml:space="preserve">6,000</w:t>
            </w:r>
          </w:p>
        </w:tc>
        <w:tc>
          <w:tcPr/>
          <w:p>
            <w:pPr>
              <w:pStyle w:val="Compact"/>
            </w:pPr>
            <w:r>
              <w:t xml:space="preserve">10,000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 OPEX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6,000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11,500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20,500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34,000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55,000</w:t>
            </w:r>
          </w:p>
        </w:tc>
      </w:tr>
    </w:tbl>
    <w:p>
      <w:pPr>
        <w:pStyle w:val="Heading2"/>
      </w:pPr>
      <w:bookmarkStart w:id="17" w:name="_profitability"/>
      <w:r>
        <w:t xml:space="preserve">4. Profitability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  <w:r>
              <w:t xml:space="preserve">Y2</w:t>
            </w:r>
          </w:p>
        </w:tc>
        <w:tc>
          <w:tcPr/>
          <w:p>
            <w:pPr>
              <w:pStyle w:val="Compact"/>
            </w:pPr>
            <w:r>
              <w:t xml:space="preserve">Y3</w:t>
            </w:r>
          </w:p>
        </w:tc>
        <w:tc>
          <w:tcPr/>
          <w:p>
            <w:pPr>
              <w:pStyle w:val="Compact"/>
            </w:pPr>
            <w:r>
              <w:t xml:space="preserve">Y4</w:t>
            </w:r>
          </w:p>
        </w:tc>
        <w:tc>
          <w:tcPr/>
          <w:p>
            <w:pPr>
              <w:pStyle w:val="Compact"/>
            </w:pPr>
            <w:r>
              <w:t xml:space="preserve">Y5</w:t>
            </w:r>
          </w:p>
        </w:tc>
      </w:tr>
      <w:tr>
        <w:tc>
          <w:tcPr/>
          <w:p>
            <w:pPr>
              <w:pStyle w:val="Compact"/>
            </w:pPr>
            <w:r>
              <w:t xml:space="preserve">EBITDA</w:t>
            </w:r>
          </w:p>
        </w:tc>
        <w:tc>
          <w:tcPr/>
          <w:p>
            <w:pPr>
              <w:pStyle w:val="Compact"/>
            </w:pPr>
            <w:r>
              <w:t xml:space="preserve">(5,400)</w:t>
            </w:r>
          </w:p>
        </w:tc>
        <w:tc>
          <w:tcPr/>
          <w:p>
            <w:pPr>
              <w:pStyle w:val="Compact"/>
            </w:pPr>
            <w:r>
              <w:t xml:space="preserve">(8,400)</w:t>
            </w:r>
          </w:p>
        </w:tc>
        <w:tc>
          <w:tcPr/>
          <w:p>
            <w:pPr>
              <w:pStyle w:val="Compact"/>
            </w:pPr>
            <w:r>
              <w:t xml:space="preserve">(10,500)</w:t>
            </w:r>
          </w:p>
        </w:tc>
        <w:tc>
          <w:tcPr/>
          <w:p>
            <w:pPr>
              <w:pStyle w:val="Compact"/>
            </w:pPr>
            <w:r>
              <w:t xml:space="preserve">(8,000)</w:t>
            </w:r>
          </w:p>
        </w:tc>
        <w:tc>
          <w:tcPr/>
          <w:p>
            <w:pPr>
              <w:pStyle w:val="Compact"/>
            </w:pPr>
            <w:r>
              <w:t xml:space="preserve">4,000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EBITDA Margin</w:t>
            </w:r>
          </w:p>
        </w:tc>
        <w:tc>
          <w:tcPr/>
          <w:p>
            <w:pPr>
              <w:pStyle w:val="Compact"/>
            </w:pPr>
            <w:r>
              <w:t xml:space="preserve">-720%</w:t>
            </w:r>
          </w:p>
        </w:tc>
        <w:tc>
          <w:tcPr/>
          <w:p>
            <w:pPr>
              <w:pStyle w:val="Compact"/>
            </w:pPr>
            <w:r>
              <w:t xml:space="preserve">-210%</w:t>
            </w:r>
          </w:p>
        </w:tc>
        <w:tc>
          <w:tcPr/>
          <w:p>
            <w:pPr>
              <w:pStyle w:val="Compact"/>
            </w:pPr>
            <w:r>
              <w:t xml:space="preserve">-81%</w:t>
            </w:r>
          </w:p>
        </w:tc>
        <w:tc>
          <w:tcPr/>
          <w:p>
            <w:pPr>
              <w:pStyle w:val="Compact"/>
            </w:pPr>
            <w:r>
              <w:t xml:space="preserve">-24%</w:t>
            </w:r>
          </w:p>
        </w:tc>
        <w:tc>
          <w:tcPr/>
          <w:p>
            <w:pPr>
              <w:pStyle w:val="Compact"/>
            </w:pPr>
            <w:r>
              <w:t xml:space="preserve">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D&amp;A</w:t>
            </w:r>
          </w:p>
        </w:tc>
        <w:tc>
          <w:tcPr/>
          <w:p>
            <w:pPr>
              <w:pStyle w:val="Compact"/>
            </w:pPr>
            <w:r>
              <w:t xml:space="preserve">(100)</w:t>
            </w:r>
          </w:p>
        </w:tc>
        <w:tc>
          <w:tcPr/>
          <w:p>
            <w:pPr>
              <w:pStyle w:val="Compact"/>
            </w:pPr>
            <w:r>
              <w:t xml:space="preserve">(200)</w:t>
            </w:r>
          </w:p>
        </w:tc>
        <w:tc>
          <w:tcPr/>
          <w:p>
            <w:pPr>
              <w:pStyle w:val="Compact"/>
            </w:pPr>
            <w:r>
              <w:t xml:space="preserve">(400)</w:t>
            </w:r>
          </w:p>
        </w:tc>
        <w:tc>
          <w:tcPr/>
          <w:p>
            <w:pPr>
              <w:pStyle w:val="Compact"/>
            </w:pPr>
            <w:r>
              <w:t xml:space="preserve">(700)</w:t>
            </w:r>
          </w:p>
        </w:tc>
        <w:tc>
          <w:tcPr/>
          <w:p>
            <w:pPr>
              <w:pStyle w:val="Compact"/>
            </w:pPr>
            <w:r>
              <w:t xml:space="preserve">(1,000)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EBIT</w:t>
            </w:r>
          </w:p>
        </w:tc>
        <w:tc>
          <w:tcPr/>
          <w:p>
            <w:pPr>
              <w:pStyle w:val="Compact"/>
            </w:pPr>
            <w:r>
              <w:t xml:space="preserve">(5,500)</w:t>
            </w:r>
          </w:p>
        </w:tc>
        <w:tc>
          <w:tcPr/>
          <w:p>
            <w:pPr>
              <w:pStyle w:val="Compact"/>
            </w:pPr>
            <w:r>
              <w:t xml:space="preserve">(8,600)</w:t>
            </w:r>
          </w:p>
        </w:tc>
        <w:tc>
          <w:tcPr/>
          <w:p>
            <w:pPr>
              <w:pStyle w:val="Compact"/>
            </w:pPr>
            <w:r>
              <w:t xml:space="preserve">(10,900)</w:t>
            </w:r>
          </w:p>
        </w:tc>
        <w:tc>
          <w:tcPr/>
          <w:p>
            <w:pPr>
              <w:pStyle w:val="Compact"/>
            </w:pPr>
            <w:r>
              <w:t xml:space="preserve">(8,700)</w:t>
            </w:r>
          </w:p>
        </w:tc>
        <w:tc>
          <w:tcPr/>
          <w:p>
            <w:pPr>
              <w:pStyle w:val="Compact"/>
            </w:pPr>
            <w:r>
              <w:t xml:space="preserve">3,000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Interest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Tax / Zakat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(200)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Net Income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(5,400)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(8,400)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(10,500)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(8,000)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2,800</w:t>
            </w:r>
          </w:p>
        </w:tc>
      </w:tr>
    </w:tbl>
    <w:p>
      <w:pPr>
        <w:pStyle w:val="Heading2"/>
      </w:pPr>
      <w:bookmarkStart w:id="18" w:name="_b3187495379e7d9e87c1ca4adeb1b1f3d232a0c"/>
      <w:r>
        <w:t xml:space="preserve">5. Key Assumptions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Assumption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Rationale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Entry ACV</w:t>
            </w:r>
          </w:p>
        </w:tc>
        <w:tc>
          <w:tcPr/>
          <w:p>
            <w:pPr>
              <w:pStyle w:val="Compact"/>
            </w:pPr>
            <w:r>
              <w:t xml:space="preserve">SAR 750K</w:t>
            </w:r>
          </w:p>
        </w:tc>
        <w:tc>
          <w:tcPr/>
          <w:p>
            <w:pPr>
              <w:pStyle w:val="Compact"/>
            </w:pPr>
            <w:r>
              <w:t xml:space="preserve">FinTech + Digital Bank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Mid-term ACV</w:t>
            </w:r>
          </w:p>
        </w:tc>
        <w:tc>
          <w:tcPr/>
          <w:p>
            <w:pPr>
              <w:pStyle w:val="Compact"/>
            </w:pPr>
            <w:r>
              <w:t xml:space="preserve">SAR 1.3M</w:t>
            </w:r>
          </w:p>
        </w:tc>
        <w:tc>
          <w:tcPr/>
          <w:p>
            <w:pPr>
              <w:pStyle w:val="Compact"/>
            </w:pPr>
            <w:r>
              <w:t xml:space="preserve">Multi-module expansion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Long-term ACV</w:t>
            </w:r>
          </w:p>
        </w:tc>
        <w:tc>
          <w:tcPr/>
          <w:p>
            <w:pPr>
              <w:pStyle w:val="Compact"/>
            </w:pPr>
            <w:r>
              <w:t xml:space="preserve">SAR 2.2M</w:t>
            </w:r>
          </w:p>
        </w:tc>
        <w:tc>
          <w:tcPr/>
          <w:p>
            <w:pPr>
              <w:pStyle w:val="Compact"/>
            </w:pPr>
            <w:r>
              <w:t xml:space="preserve">Tier-1 bank enterprise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Churn</w:t>
            </w:r>
          </w:p>
        </w:tc>
        <w:tc>
          <w:tcPr/>
          <w:p>
            <w:pPr>
              <w:pStyle w:val="Compact"/>
            </w:pPr>
            <w:r>
              <w:t xml:space="preserve">5%</w:t>
            </w:r>
          </w:p>
        </w:tc>
        <w:tc>
          <w:tcPr/>
          <w:p>
            <w:pPr>
              <w:pStyle w:val="Compact"/>
            </w:pPr>
            <w:r>
              <w:t xml:space="preserve">SaaS benchmark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Expansion</w:t>
            </w:r>
          </w:p>
        </w:tc>
        <w:tc>
          <w:tcPr/>
          <w:p>
            <w:pPr>
              <w:pStyle w:val="Compact"/>
            </w:pPr>
            <w:r>
              <w:t xml:space="preserve">+30% YoY</w:t>
            </w:r>
          </w:p>
        </w:tc>
        <w:tc>
          <w:tcPr/>
          <w:p>
            <w:pPr>
              <w:pStyle w:val="Compact"/>
            </w:pPr>
            <w:r>
              <w:t xml:space="preserve">Module + usage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Gross margin</w:t>
            </w:r>
          </w:p>
        </w:tc>
        <w:tc>
          <w:tcPr/>
          <w:p>
            <w:pPr>
              <w:pStyle w:val="Compact"/>
            </w:pPr>
            <w:r>
              <w:t xml:space="preserve">78%</w:t>
            </w:r>
          </w:p>
        </w:tc>
        <w:tc>
          <w:tcPr/>
          <w:p>
            <w:pPr>
              <w:pStyle w:val="Compact"/>
            </w:pPr>
            <w:r>
              <w:t xml:space="preserve">Software-led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R&amp;D as % revenue</w:t>
            </w:r>
          </w:p>
        </w:tc>
        <w:tc>
          <w:tcPr/>
          <w:p>
            <w:pPr>
              <w:pStyle w:val="Compact"/>
            </w:pPr>
            <w:r>
              <w:t xml:space="preserve">High in Y1-3</w:t>
            </w:r>
          </w:p>
        </w:tc>
        <w:tc>
          <w:tcPr/>
          <w:p>
            <w:pPr>
              <w:pStyle w:val="Compact"/>
            </w:pPr>
            <w:r>
              <w:t xml:space="preserve">Product investment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S&amp;M as % revenue</w:t>
            </w:r>
          </w:p>
        </w:tc>
        <w:tc>
          <w:tcPr/>
          <w:p>
            <w:pPr>
              <w:pStyle w:val="Compact"/>
            </w:pPr>
            <w:r>
              <w:t xml:space="preserve">20-25%</w:t>
            </w:r>
          </w:p>
        </w:tc>
        <w:tc>
          <w:tcPr/>
          <w:p>
            <w:pPr>
              <w:pStyle w:val="Compact"/>
            </w:pPr>
            <w:r>
              <w:t xml:space="preserve">Enterprise GTM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Prepared to institutional standards. Forecasts are management estimates, not audited.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Finance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Integrated Financial Model</dc:title>
  <dc:creator>HISN Platform</dc:creator>
  <cp:keywords>HISN, FCDOS, financial crime, decision operating system</cp:keywords>
  <dcterms:created xsi:type="dcterms:W3CDTF">2026-10-14T09:31:48Z</dcterms:created>
  <dcterms:modified xsi:type="dcterms:W3CDTF">2026-10-14T09:31:48Z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