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04_Cash_Flow_Statement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c6591de3f7ee245f6d5f454edbecf294cfe07ab"/>
      <w:r>
        <w:t xml:space="preserve">CASH FLOW STATEMENT — 5 YEAR</w:t>
      </w:r>
    </w:p>
    <w:p>
      <w:pPr>
        <w:pStyle w:val="FirstParagraph"/>
      </w:pPr>
      <w:r>
        <w:rPr>
          <w:b/>
          <w:bCs/>
        </w:rPr>
        <w:t xml:space="preserve">Currency:</w:t>
      </w:r>
      <w:r>
        <w:t xml:space="preserve"> </w:t>
      </w:r>
      <w:r>
        <w:t xml:space="preserve">SAR (thousands)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f0d46faddcf32f52612dddbfd8de82766581b2f"/>
      <w:r>
        <w:t xml:space="preserve">1. Operating Activities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 Income</w:t>
            </w:r>
          </w:p>
        </w:tc>
        <w:tc>
          <w:tcPr/>
          <w:p>
            <w:pPr>
              <w:pStyle w:val="Compact"/>
            </w:pPr>
            <w:r>
              <w:t xml:space="preserve">(5,400)</w:t>
            </w:r>
          </w:p>
        </w:tc>
        <w:tc>
          <w:tcPr/>
          <w:p>
            <w:pPr>
              <w:pStyle w:val="Compact"/>
            </w:pPr>
            <w:r>
              <w:t xml:space="preserve">(8,400)</w:t>
            </w:r>
          </w:p>
        </w:tc>
        <w:tc>
          <w:tcPr/>
          <w:p>
            <w:pPr>
              <w:pStyle w:val="Compact"/>
            </w:pPr>
            <w:r>
              <w:t xml:space="preserve">(10,500)</w:t>
            </w:r>
          </w:p>
        </w:tc>
        <w:tc>
          <w:tcPr/>
          <w:p>
            <w:pPr>
              <w:pStyle w:val="Compact"/>
            </w:pPr>
            <w:r>
              <w:t xml:space="preserve">(8,000)</w:t>
            </w:r>
          </w:p>
        </w:tc>
        <w:tc>
          <w:tcPr/>
          <w:p>
            <w:pPr>
              <w:pStyle w:val="Compact"/>
            </w:pPr>
            <w:r>
              <w:t xml:space="preserve">2,800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Add: D&amp;A</w:t>
            </w:r>
          </w:p>
        </w:tc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200</w:t>
            </w:r>
          </w:p>
        </w:tc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t xml:space="preserve">700</w:t>
            </w:r>
          </w:p>
        </w:tc>
        <w:tc>
          <w:tcPr/>
          <w:p>
            <w:pPr>
              <w:pStyle w:val="Compact"/>
            </w:pPr>
            <w:r>
              <w:t xml:space="preserve">1,000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Change in AR</w:t>
            </w:r>
          </w:p>
        </w:tc>
        <w:tc>
          <w:tcPr/>
          <w:p>
            <w:pPr>
              <w:pStyle w:val="Compact"/>
            </w:pPr>
            <w:r>
              <w:t xml:space="preserve">(100)</w:t>
            </w:r>
          </w:p>
        </w:tc>
        <w:tc>
          <w:tcPr/>
          <w:p>
            <w:pPr>
              <w:pStyle w:val="Compact"/>
            </w:pPr>
            <w:r>
              <w:t xml:space="preserve">(500)</w:t>
            </w:r>
          </w:p>
        </w:tc>
        <w:tc>
          <w:tcPr/>
          <w:p>
            <w:pPr>
              <w:pStyle w:val="Compact"/>
            </w:pPr>
            <w:r>
              <w:t xml:space="preserve">(1,200)</w:t>
            </w:r>
          </w:p>
        </w:tc>
        <w:tc>
          <w:tcPr/>
          <w:p>
            <w:pPr>
              <w:pStyle w:val="Compact"/>
            </w:pPr>
            <w:r>
              <w:t xml:space="preserve">(2,700)</w:t>
            </w:r>
          </w:p>
        </w:tc>
        <w:tc>
          <w:tcPr/>
          <w:p>
            <w:pPr>
              <w:pStyle w:val="Compact"/>
            </w:pPr>
            <w:r>
              <w:t xml:space="preserve">(5,500)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Change in Prepaid</w:t>
            </w:r>
          </w:p>
        </w:tc>
        <w:tc>
          <w:tcPr/>
          <w:p>
            <w:pPr>
              <w:pStyle w:val="Compact"/>
            </w:pPr>
            <w:r>
              <w:t xml:space="preserve">(50)</w:t>
            </w:r>
          </w:p>
        </w:tc>
        <w:tc>
          <w:tcPr/>
          <w:p>
            <w:pPr>
              <w:pStyle w:val="Compact"/>
            </w:pPr>
            <w:r>
              <w:t xml:space="preserve">(150)</w:t>
            </w:r>
          </w:p>
        </w:tc>
        <w:tc>
          <w:tcPr/>
          <w:p>
            <w:pPr>
              <w:pStyle w:val="Compact"/>
            </w:pPr>
            <w:r>
              <w:t xml:space="preserve">(300)</w:t>
            </w:r>
          </w:p>
        </w:tc>
        <w:tc>
          <w:tcPr/>
          <w:p>
            <w:pPr>
              <w:pStyle w:val="Compact"/>
            </w:pPr>
            <w:r>
              <w:t xml:space="preserve">(500)</w:t>
            </w:r>
          </w:p>
        </w:tc>
        <w:tc>
          <w:tcPr/>
          <w:p>
            <w:pPr>
              <w:pStyle w:val="Compact"/>
            </w:pPr>
            <w:r>
              <w:t xml:space="preserve">(1,000)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Change in AP</w:t>
            </w:r>
          </w:p>
        </w:tc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350</w:t>
            </w:r>
          </w:p>
        </w:tc>
        <w:tc>
          <w:tcPr/>
          <w:p>
            <w:pPr>
              <w:pStyle w:val="Compact"/>
            </w:pPr>
            <w:r>
              <w:t xml:space="preserve">700</w:t>
            </w:r>
          </w:p>
        </w:tc>
        <w:tc>
          <w:tcPr/>
          <w:p>
            <w:pPr>
              <w:pStyle w:val="Compact"/>
            </w:pPr>
            <w:r>
              <w:t xml:space="preserve">1,300</w:t>
            </w:r>
          </w:p>
        </w:tc>
        <w:tc>
          <w:tcPr/>
          <w:p>
            <w:pPr>
              <w:pStyle w:val="Compact"/>
            </w:pPr>
            <w:r>
              <w:t xml:space="preserve">2,500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Change in Accrued</w:t>
            </w:r>
          </w:p>
        </w:tc>
        <w:tc>
          <w:tcPr/>
          <w:p>
            <w:pPr>
              <w:pStyle w:val="Compact"/>
            </w:pPr>
            <w:r>
              <w:t xml:space="preserve">200</w:t>
            </w:r>
          </w:p>
        </w:tc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t xml:space="preserve">900</w:t>
            </w:r>
          </w:p>
        </w:tc>
        <w:tc>
          <w:tcPr/>
          <w:p>
            <w:pPr>
              <w:pStyle w:val="Compact"/>
            </w:pPr>
            <w:r>
              <w:t xml:space="preserve">1,500</w:t>
            </w:r>
          </w:p>
        </w:tc>
        <w:tc>
          <w:tcPr/>
          <w:p>
            <w:pPr>
              <w:pStyle w:val="Compact"/>
            </w:pPr>
            <w:r>
              <w:t xml:space="preserve">3,000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Change in Deferred Revenue</w:t>
            </w:r>
          </w:p>
        </w:tc>
        <w:tc>
          <w:tcPr/>
          <w:p>
            <w:pPr>
              <w:pStyle w:val="Compact"/>
            </w:pPr>
            <w:r>
              <w:t xml:space="preserve">300</w:t>
            </w:r>
          </w:p>
        </w:tc>
        <w:tc>
          <w:tcPr/>
          <w:p>
            <w:pPr>
              <w:pStyle w:val="Compact"/>
            </w:pPr>
            <w:r>
              <w:t xml:space="preserve">900</w:t>
            </w:r>
          </w:p>
        </w:tc>
        <w:tc>
          <w:tcPr/>
          <w:p>
            <w:pPr>
              <w:pStyle w:val="Compact"/>
            </w:pPr>
            <w:r>
              <w:t xml:space="preserve">2,300</w:t>
            </w:r>
          </w:p>
        </w:tc>
        <w:tc>
          <w:tcPr/>
          <w:p>
            <w:pPr>
              <w:pStyle w:val="Compact"/>
            </w:pPr>
            <w:r>
              <w:t xml:space="preserve">4,500</w:t>
            </w:r>
          </w:p>
        </w:tc>
        <w:tc>
          <w:tcPr/>
          <w:p>
            <w:pPr>
              <w:pStyle w:val="Compact"/>
            </w:pPr>
            <w:r>
              <w:t xml:space="preserve">7,000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Operating Cash Flow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(4,800)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(7,200)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(7,700)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(3,200)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9,800</w:t>
            </w:r>
          </w:p>
        </w:tc>
      </w:tr>
    </w:tbl>
    <w:p>
      <w:pPr>
        <w:pStyle w:val="Heading2"/>
      </w:pPr>
      <w:bookmarkStart w:id="11" w:name="_39ae6f4f29a9fd114f55f48f6b83fc0abbb83b9"/>
      <w:r>
        <w:t xml:space="preserve">2. Investing Activities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CAPEX</w:t>
            </w:r>
          </w:p>
        </w:tc>
        <w:tc>
          <w:tcPr/>
          <w:p>
            <w:pPr>
              <w:pStyle w:val="Compact"/>
            </w:pPr>
            <w:r>
              <w:t xml:space="preserve">(300)</w:t>
            </w:r>
          </w:p>
        </w:tc>
        <w:tc>
          <w:tcPr/>
          <w:p>
            <w:pPr>
              <w:pStyle w:val="Compact"/>
            </w:pPr>
            <w:r>
              <w:t xml:space="preserve">(500)</w:t>
            </w:r>
          </w:p>
        </w:tc>
        <w:tc>
          <w:tcPr/>
          <w:p>
            <w:pPr>
              <w:pStyle w:val="Compact"/>
            </w:pPr>
            <w:r>
              <w:t xml:space="preserve">(900)</w:t>
            </w:r>
          </w:p>
        </w:tc>
        <w:tc>
          <w:tcPr/>
          <w:p>
            <w:pPr>
              <w:pStyle w:val="Compact"/>
            </w:pPr>
            <w:r>
              <w:t xml:space="preserve">(1,500)</w:t>
            </w:r>
          </w:p>
        </w:tc>
        <w:tc>
          <w:tcPr/>
          <w:p>
            <w:pPr>
              <w:pStyle w:val="Compact"/>
            </w:pPr>
            <w:r>
              <w:t xml:space="preserve">(2,000)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Intangibles</w:t>
            </w:r>
          </w:p>
        </w:tc>
        <w:tc>
          <w:tcPr/>
          <w:p>
            <w:pPr>
              <w:pStyle w:val="Compact"/>
            </w:pPr>
            <w:r>
              <w:t xml:space="preserve">(100)</w:t>
            </w:r>
          </w:p>
        </w:tc>
        <w:tc>
          <w:tcPr/>
          <w:p>
            <w:pPr>
              <w:pStyle w:val="Compact"/>
            </w:pPr>
            <w:r>
              <w:t xml:space="preserve">(100)</w:t>
            </w:r>
          </w:p>
        </w:tc>
        <w:tc>
          <w:tcPr/>
          <w:p>
            <w:pPr>
              <w:pStyle w:val="Compact"/>
            </w:pPr>
            <w:r>
              <w:t xml:space="preserve">(200)</w:t>
            </w:r>
          </w:p>
        </w:tc>
        <w:tc>
          <w:tcPr/>
          <w:p>
            <w:pPr>
              <w:pStyle w:val="Compact"/>
            </w:pPr>
            <w:r>
              <w:t xml:space="preserve">(200)</w:t>
            </w:r>
          </w:p>
        </w:tc>
        <w:tc>
          <w:tcPr/>
          <w:p>
            <w:pPr>
              <w:pStyle w:val="Compact"/>
            </w:pPr>
            <w:r>
              <w:t xml:space="preserve">(200)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Investing Cash Flow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(400)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(600)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(1,100)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(1,700)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(2,200)</w:t>
            </w:r>
          </w:p>
        </w:tc>
      </w:tr>
    </w:tbl>
    <w:p>
      <w:pPr>
        <w:pStyle w:val="Heading2"/>
      </w:pPr>
      <w:bookmarkStart w:id="12" w:name="_ac92203b9ca2cd0428a08e3d3cb91ecf7a6a195"/>
      <w:r>
        <w:t xml:space="preserve">3. Financing Activities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Seed Round</w:t>
            </w:r>
          </w:p>
        </w:tc>
        <w:tc>
          <w:tcPr/>
          <w:p>
            <w:pPr>
              <w:pStyle w:val="Compact"/>
            </w:pPr>
            <w:r>
              <w:t xml:space="preserve">7,500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Series 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25,000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Series B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Financing Cash Flow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7,500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25,000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</w:t>
            </w:r>
          </w:p>
        </w:tc>
      </w:tr>
    </w:tbl>
    <w:p>
      <w:pPr>
        <w:pStyle w:val="Heading2"/>
      </w:pPr>
      <w:bookmarkStart w:id="13" w:name="_c53b72875f197ccc98791b0ae2a4545e78a6d2a"/>
      <w:r>
        <w:t xml:space="preserve">4. Net Change in Cash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Opening Cash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2,100</w:t>
            </w:r>
          </w:p>
        </w:tc>
        <w:tc>
          <w:tcPr/>
          <w:p>
            <w:pPr>
              <w:pStyle w:val="Compact"/>
            </w:pPr>
            <w:r>
              <w:t xml:space="preserve">(5,700)</w:t>
            </w:r>
          </w:p>
        </w:tc>
        <w:tc>
          <w:tcPr/>
          <w:p>
            <w:pPr>
              <w:pStyle w:val="Compact"/>
            </w:pPr>
            <w:r>
              <w:t xml:space="preserve">10,500</w:t>
            </w:r>
          </w:p>
        </w:tc>
        <w:tc>
          <w:tcPr/>
          <w:p>
            <w:pPr>
              <w:pStyle w:val="Compact"/>
            </w:pPr>
            <w:r>
              <w:t xml:space="preserve">5,600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Operating</w:t>
            </w:r>
          </w:p>
        </w:tc>
        <w:tc>
          <w:tcPr/>
          <w:p>
            <w:pPr>
              <w:pStyle w:val="Compact"/>
            </w:pPr>
            <w:r>
              <w:t xml:space="preserve">(4,800)</w:t>
            </w:r>
          </w:p>
        </w:tc>
        <w:tc>
          <w:tcPr/>
          <w:p>
            <w:pPr>
              <w:pStyle w:val="Compact"/>
            </w:pPr>
            <w:r>
              <w:t xml:space="preserve">(7,200)</w:t>
            </w:r>
          </w:p>
        </w:tc>
        <w:tc>
          <w:tcPr/>
          <w:p>
            <w:pPr>
              <w:pStyle w:val="Compact"/>
            </w:pPr>
            <w:r>
              <w:t xml:space="preserve">(7,700)</w:t>
            </w:r>
          </w:p>
        </w:tc>
        <w:tc>
          <w:tcPr/>
          <w:p>
            <w:pPr>
              <w:pStyle w:val="Compact"/>
            </w:pPr>
            <w:r>
              <w:t xml:space="preserve">(3,200)</w:t>
            </w:r>
          </w:p>
        </w:tc>
        <w:tc>
          <w:tcPr/>
          <w:p>
            <w:pPr>
              <w:pStyle w:val="Compact"/>
            </w:pPr>
            <w:r>
              <w:t xml:space="preserve">9,800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Investing</w:t>
            </w:r>
          </w:p>
        </w:tc>
        <w:tc>
          <w:tcPr/>
          <w:p>
            <w:pPr>
              <w:pStyle w:val="Compact"/>
            </w:pPr>
            <w:r>
              <w:t xml:space="preserve">(400)</w:t>
            </w:r>
          </w:p>
        </w:tc>
        <w:tc>
          <w:tcPr/>
          <w:p>
            <w:pPr>
              <w:pStyle w:val="Compact"/>
            </w:pPr>
            <w:r>
              <w:t xml:space="preserve">(600)</w:t>
            </w:r>
          </w:p>
        </w:tc>
        <w:tc>
          <w:tcPr/>
          <w:p>
            <w:pPr>
              <w:pStyle w:val="Compact"/>
            </w:pPr>
            <w:r>
              <w:t xml:space="preserve">(1,100)</w:t>
            </w:r>
          </w:p>
        </w:tc>
        <w:tc>
          <w:tcPr/>
          <w:p>
            <w:pPr>
              <w:pStyle w:val="Compact"/>
            </w:pPr>
            <w:r>
              <w:t xml:space="preserve">(1,700)</w:t>
            </w:r>
          </w:p>
        </w:tc>
        <w:tc>
          <w:tcPr/>
          <w:p>
            <w:pPr>
              <w:pStyle w:val="Compact"/>
            </w:pPr>
            <w:r>
              <w:t xml:space="preserve">(2,200)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Financing</w:t>
            </w:r>
          </w:p>
        </w:tc>
        <w:tc>
          <w:tcPr/>
          <w:p>
            <w:pPr>
              <w:pStyle w:val="Compact"/>
            </w:pPr>
            <w:r>
              <w:t xml:space="preserve">7,500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25,000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Net Change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2,300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(7,800)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16,200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(4,900)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7,600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Closing Cash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2,100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(5,700)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10,500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5,600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13,200</w:t>
            </w:r>
          </w:p>
        </w:tc>
      </w:tr>
    </w:tbl>
    <w:p>
      <w:pPr>
        <w:pStyle w:val="Heading2"/>
      </w:pPr>
      <w:bookmarkStart w:id="14" w:name="_48a40e7bab23968974444f0e2359afdf452c9ac"/>
      <w:r>
        <w:t xml:space="preserve">5. Runway Analysis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Monthly Burn</w:t>
            </w:r>
          </w:p>
        </w:tc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t xml:space="preserve">600</w:t>
            </w:r>
          </w:p>
        </w:tc>
        <w:tc>
          <w:tcPr/>
          <w:p>
            <w:pPr>
              <w:pStyle w:val="Compact"/>
            </w:pPr>
            <w:r>
              <w:t xml:space="preserve">800</w:t>
            </w:r>
          </w:p>
        </w:tc>
        <w:tc>
          <w:tcPr/>
          <w:p>
            <w:pPr>
              <w:pStyle w:val="Compact"/>
            </w:pPr>
            <w:r>
              <w:t xml:space="preserve">700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Opening Cash</w:t>
            </w:r>
          </w:p>
        </w:tc>
        <w:tc>
          <w:tcPr/>
          <w:p>
            <w:pPr>
              <w:pStyle w:val="Compact"/>
            </w:pPr>
            <w:r>
              <w:t xml:space="preserve">7,500</w:t>
            </w:r>
          </w:p>
        </w:tc>
        <w:tc>
          <w:tcPr/>
          <w:p>
            <w:pPr>
              <w:pStyle w:val="Compact"/>
            </w:pPr>
            <w:r>
              <w:t xml:space="preserve">2,100</w:t>
            </w:r>
          </w:p>
        </w:tc>
        <w:tc>
          <w:tcPr/>
          <w:p>
            <w:pPr>
              <w:pStyle w:val="Compact"/>
            </w:pPr>
            <w:r>
              <w:t xml:space="preserve">(5,700)</w:t>
            </w:r>
          </w:p>
        </w:tc>
        <w:tc>
          <w:tcPr/>
          <w:p>
            <w:pPr>
              <w:pStyle w:val="Compact"/>
            </w:pPr>
            <w:r>
              <w:t xml:space="preserve">10,500</w:t>
            </w:r>
          </w:p>
        </w:tc>
        <w:tc>
          <w:tcPr/>
          <w:p>
            <w:pPr>
              <w:pStyle w:val="Compact"/>
            </w:pPr>
            <w:r>
              <w:t xml:space="preserve">5,600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Months of Runway</w:t>
            </w:r>
          </w:p>
        </w:tc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Note:</w:t>
      </w:r>
      <w:r>
        <w:t xml:space="preserve"> </w:t>
      </w:r>
      <w:r>
        <w:t xml:space="preserve">Series A assumed at start of Y3 (SAR 25M).</w:t>
      </w:r>
    </w:p>
    <w:p>
      <w:pPr>
        <w:pStyle w:val="Heading2"/>
      </w:pPr>
      <w:bookmarkStart w:id="15" w:name="_777b7429a3b82178342065a4e3ea6e9e2fd6bcd"/>
      <w:r>
        <w:t xml:space="preserve">6. Free Cash Flow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Operating CF</w:t>
            </w:r>
          </w:p>
        </w:tc>
        <w:tc>
          <w:tcPr/>
          <w:p>
            <w:pPr>
              <w:pStyle w:val="Compact"/>
            </w:pPr>
            <w:r>
              <w:t xml:space="preserve">(4,800)</w:t>
            </w:r>
          </w:p>
        </w:tc>
        <w:tc>
          <w:tcPr/>
          <w:p>
            <w:pPr>
              <w:pStyle w:val="Compact"/>
            </w:pPr>
            <w:r>
              <w:t xml:space="preserve">(7,200)</w:t>
            </w:r>
          </w:p>
        </w:tc>
        <w:tc>
          <w:tcPr/>
          <w:p>
            <w:pPr>
              <w:pStyle w:val="Compact"/>
            </w:pPr>
            <w:r>
              <w:t xml:space="preserve">(7,700)</w:t>
            </w:r>
          </w:p>
        </w:tc>
        <w:tc>
          <w:tcPr/>
          <w:p>
            <w:pPr>
              <w:pStyle w:val="Compact"/>
            </w:pPr>
            <w:r>
              <w:t xml:space="preserve">(3,200)</w:t>
            </w:r>
          </w:p>
        </w:tc>
        <w:tc>
          <w:tcPr/>
          <w:p>
            <w:pPr>
              <w:pStyle w:val="Compact"/>
            </w:pPr>
            <w:r>
              <w:t xml:space="preserve">9,800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CAPEX</w:t>
            </w:r>
          </w:p>
        </w:tc>
        <w:tc>
          <w:tcPr/>
          <w:p>
            <w:pPr>
              <w:pStyle w:val="Compact"/>
            </w:pPr>
            <w:r>
              <w:t xml:space="preserve">(300)</w:t>
            </w:r>
          </w:p>
        </w:tc>
        <w:tc>
          <w:tcPr/>
          <w:p>
            <w:pPr>
              <w:pStyle w:val="Compact"/>
            </w:pPr>
            <w:r>
              <w:t xml:space="preserve">(500)</w:t>
            </w:r>
          </w:p>
        </w:tc>
        <w:tc>
          <w:tcPr/>
          <w:p>
            <w:pPr>
              <w:pStyle w:val="Compact"/>
            </w:pPr>
            <w:r>
              <w:t xml:space="preserve">(900)</w:t>
            </w:r>
          </w:p>
        </w:tc>
        <w:tc>
          <w:tcPr/>
          <w:p>
            <w:pPr>
              <w:pStyle w:val="Compact"/>
            </w:pPr>
            <w:r>
              <w:t xml:space="preserve">(1,500)</w:t>
            </w:r>
          </w:p>
        </w:tc>
        <w:tc>
          <w:tcPr/>
          <w:p>
            <w:pPr>
              <w:pStyle w:val="Compact"/>
            </w:pPr>
            <w:r>
              <w:t xml:space="preserve">(2,000)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Free Cash Flow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(5,100)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(7,700)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(8,600)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(4,700)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7,800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Cash flow assumes capital raises as noted. Actual timing subject to investor negotiations.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Cash Flow Statement</dc:title>
  <dc:creator>HISN Platform</dc:creator>
  <cp:keywords>HISN, FCDOS, financial crime, decision operating system</cp:keywords>
  <dcterms:created xsi:type="dcterms:W3CDTF">2026-10-14T09:31:48Z</dcterms:created>
  <dcterms:modified xsi:type="dcterms:W3CDTF">2026-10-14T09:31:48Z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