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05_DCF_Valuation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5c60d30d4dfd863084ae20ff3ff1da82eac8472"/>
      <w:r>
        <w:t xml:space="preserve">DCF VALUATION MODEL</w:t>
      </w:r>
    </w:p>
    <w:p>
      <w:pPr>
        <w:pStyle w:val="FirstParagraph"/>
      </w:pPr>
      <w:r>
        <w:rPr>
          <w:b/>
          <w:bCs/>
        </w:rPr>
        <w:t xml:space="preserve">Currency:</w:t>
      </w:r>
      <w:r>
        <w:t xml:space="preserve"> </w:t>
      </w:r>
      <w:r>
        <w:t xml:space="preserve">SAR (thousands)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methodology"/>
      <w:r>
        <w:t xml:space="preserve">1. Methodology</w:t>
      </w:r>
    </w:p>
    <w:p>
      <w:pPr>
        <w:pStyle w:val="FirstParagraph"/>
      </w:pPr>
      <w:r>
        <w:rPr>
          <w:b/>
          <w:bCs/>
        </w:rPr>
        <w:t xml:space="preserve">Approach:</w:t>
      </w:r>
      <w:r>
        <w:t xml:space="preserve"> </w:t>
      </w:r>
      <w:r>
        <w:t xml:space="preserve">Discounted Cash Flow (DCF) — Terminal Value using Exit Multiple</w:t>
      </w:r>
    </w:p>
    <w:p>
      <w:pPr>
        <w:pStyle w:val="BodyText"/>
      </w:pPr>
      <w:r>
        <w:rPr>
          <w:b/>
          <w:bCs/>
        </w:rPr>
        <w:t xml:space="preserve">Discount Rate (WACC):</w:t>
      </w:r>
      <w:r>
        <w:t xml:space="preserve"> </w:t>
      </w:r>
      <w:r>
        <w:t xml:space="preserve">25% (early-stage SaaS benchmark)</w:t>
      </w:r>
      <w:r>
        <w:t xml:space="preserve"> </w:t>
      </w:r>
      <w:r>
        <w:rPr>
          <w:b/>
          <w:bCs/>
        </w:rPr>
        <w:t xml:space="preserve">Terminal Growth Rate:</w:t>
      </w:r>
      <w:r>
        <w:t xml:space="preserve"> </w:t>
      </w:r>
      <w:r>
        <w:t xml:space="preserve">3%</w:t>
      </w:r>
      <w:r>
        <w:t xml:space="preserve"> </w:t>
      </w:r>
      <w:r>
        <w:rPr>
          <w:b/>
          <w:bCs/>
        </w:rPr>
        <w:t xml:space="preserve">Exit Multiple:</w:t>
      </w:r>
      <w:r>
        <w:t xml:space="preserve"> </w:t>
      </w:r>
      <w:r>
        <w:t xml:space="preserve">8x revenue (SaaS benchmark for Y5)</w:t>
      </w:r>
      <w:r>
        <w:t xml:space="preserve"> </w:t>
      </w:r>
      <w:r>
        <w:rPr>
          <w:b/>
          <w:bCs/>
        </w:rPr>
        <w:t xml:space="preserve">Forecast Period:</w:t>
      </w:r>
      <w:r>
        <w:t xml:space="preserve"> </w:t>
      </w:r>
      <w:r>
        <w:t xml:space="preserve">5 years</w:t>
      </w:r>
    </w:p>
    <w:p>
      <w:pPr>
        <w:pStyle w:val="Heading2"/>
      </w:pPr>
      <w:bookmarkStart w:id="11" w:name="_03823a09424049c96a38bc96dd849cd4cc70bc3"/>
      <w:r>
        <w:t xml:space="preserve">2. Free Cash Flow Projections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</w:t>
            </w:r>
          </w:p>
        </w:tc>
        <w:tc>
          <w:tcPr/>
          <w:p>
            <w:pPr>
              <w:pStyle w:val="Compact"/>
            </w:pPr>
            <w:r>
              <w:t xml:space="preserve">750</w:t>
            </w:r>
          </w:p>
        </w:tc>
        <w:tc>
          <w:tcPr/>
          <w:p>
            <w:pPr>
              <w:pStyle w:val="Compact"/>
            </w:pPr>
            <w:r>
              <w:t xml:space="preserve">4,000</w:t>
            </w:r>
          </w:p>
        </w:tc>
        <w:tc>
          <w:tcPr/>
          <w:p>
            <w:pPr>
              <w:pStyle w:val="Compact"/>
            </w:pPr>
            <w:r>
              <w:t xml:space="preserve">13,000</w:t>
            </w:r>
          </w:p>
        </w:tc>
        <w:tc>
          <w:tcPr/>
          <w:p>
            <w:pPr>
              <w:pStyle w:val="Compact"/>
            </w:pPr>
            <w:r>
              <w:t xml:space="preserve">34,000</w:t>
            </w:r>
          </w:p>
        </w:tc>
        <w:tc>
          <w:tcPr/>
          <w:p>
            <w:pPr>
              <w:pStyle w:val="Compact"/>
            </w:pPr>
            <w:r>
              <w:t xml:space="preserve">77,000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EBITDA</w:t>
            </w:r>
          </w:p>
        </w:tc>
        <w:tc>
          <w:tcPr/>
          <w:p>
            <w:pPr>
              <w:pStyle w:val="Compact"/>
            </w:pPr>
            <w:r>
              <w:t xml:space="preserve">(5,400)</w:t>
            </w:r>
          </w:p>
        </w:tc>
        <w:tc>
          <w:tcPr/>
          <w:p>
            <w:pPr>
              <w:pStyle w:val="Compact"/>
            </w:pPr>
            <w:r>
              <w:t xml:space="preserve">(8,400)</w:t>
            </w:r>
          </w:p>
        </w:tc>
        <w:tc>
          <w:tcPr/>
          <w:p>
            <w:pPr>
              <w:pStyle w:val="Compact"/>
            </w:pPr>
            <w:r>
              <w:t xml:space="preserve">(10,500)</w:t>
            </w:r>
          </w:p>
        </w:tc>
        <w:tc>
          <w:tcPr/>
          <w:p>
            <w:pPr>
              <w:pStyle w:val="Compact"/>
            </w:pPr>
            <w:r>
              <w:t xml:space="preserve">(8,000)</w:t>
            </w:r>
          </w:p>
        </w:tc>
        <w:tc>
          <w:tcPr/>
          <w:p>
            <w:pPr>
              <w:pStyle w:val="Compact"/>
            </w:pPr>
            <w:r>
              <w:t xml:space="preserve">4,000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Taxes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(200)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NOPAT</w:t>
            </w:r>
          </w:p>
        </w:tc>
        <w:tc>
          <w:tcPr/>
          <w:p>
            <w:pPr>
              <w:pStyle w:val="Compact"/>
            </w:pPr>
            <w:r>
              <w:t xml:space="preserve">(5,400)</w:t>
            </w:r>
          </w:p>
        </w:tc>
        <w:tc>
          <w:tcPr/>
          <w:p>
            <w:pPr>
              <w:pStyle w:val="Compact"/>
            </w:pPr>
            <w:r>
              <w:t xml:space="preserve">(8,400)</w:t>
            </w:r>
          </w:p>
        </w:tc>
        <w:tc>
          <w:tcPr/>
          <w:p>
            <w:pPr>
              <w:pStyle w:val="Compact"/>
            </w:pPr>
            <w:r>
              <w:t xml:space="preserve">(10,500)</w:t>
            </w:r>
          </w:p>
        </w:tc>
        <w:tc>
          <w:tcPr/>
          <w:p>
            <w:pPr>
              <w:pStyle w:val="Compact"/>
            </w:pPr>
            <w:r>
              <w:t xml:space="preserve">(8,000)</w:t>
            </w:r>
          </w:p>
        </w:tc>
        <w:tc>
          <w:tcPr/>
          <w:p>
            <w:pPr>
              <w:pStyle w:val="Compact"/>
            </w:pPr>
            <w:r>
              <w:t xml:space="preserve">3,800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Add: D&amp;A</w:t>
            </w:r>
          </w:p>
        </w:tc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t xml:space="preserve">700</w:t>
            </w:r>
          </w:p>
        </w:tc>
        <w:tc>
          <w:tcPr/>
          <w:p>
            <w:pPr>
              <w:pStyle w:val="Compact"/>
            </w:pPr>
            <w:r>
              <w:t xml:space="preserve">1,000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Less: CAPEX</w:t>
            </w:r>
          </w:p>
        </w:tc>
        <w:tc>
          <w:tcPr/>
          <w:p>
            <w:pPr>
              <w:pStyle w:val="Compact"/>
            </w:pPr>
            <w:r>
              <w:t xml:space="preserve">(300)</w:t>
            </w:r>
          </w:p>
        </w:tc>
        <w:tc>
          <w:tcPr/>
          <w:p>
            <w:pPr>
              <w:pStyle w:val="Compact"/>
            </w:pPr>
            <w:r>
              <w:t xml:space="preserve">(500)</w:t>
            </w:r>
          </w:p>
        </w:tc>
        <w:tc>
          <w:tcPr/>
          <w:p>
            <w:pPr>
              <w:pStyle w:val="Compact"/>
            </w:pPr>
            <w:r>
              <w:t xml:space="preserve">(900)</w:t>
            </w:r>
          </w:p>
        </w:tc>
        <w:tc>
          <w:tcPr/>
          <w:p>
            <w:pPr>
              <w:pStyle w:val="Compact"/>
            </w:pPr>
            <w:r>
              <w:t xml:space="preserve">(1,500)</w:t>
            </w:r>
          </w:p>
        </w:tc>
        <w:tc>
          <w:tcPr/>
          <w:p>
            <w:pPr>
              <w:pStyle w:val="Compact"/>
            </w:pPr>
            <w:r>
              <w:t xml:space="preserve">(2,000)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Less: WC Change</w:t>
            </w:r>
          </w:p>
        </w:tc>
        <w:tc>
          <w:tcPr/>
          <w:p>
            <w:pPr>
              <w:pStyle w:val="Compact"/>
            </w:pPr>
            <w:r>
              <w:t xml:space="preserve">500</w:t>
            </w:r>
          </w:p>
        </w:tc>
        <w:tc>
          <w:tcPr/>
          <w:p>
            <w:pPr>
              <w:pStyle w:val="Compact"/>
            </w:pPr>
            <w:r>
              <w:t xml:space="preserve">(600)</w:t>
            </w:r>
          </w:p>
        </w:tc>
        <w:tc>
          <w:tcPr/>
          <w:p>
            <w:pPr>
              <w:pStyle w:val="Compact"/>
            </w:pPr>
            <w:r>
              <w:t xml:space="preserve">(2,200)</w:t>
            </w:r>
          </w:p>
        </w:tc>
        <w:tc>
          <w:tcPr/>
          <w:p>
            <w:pPr>
              <w:pStyle w:val="Compact"/>
            </w:pPr>
            <w:r>
              <w:t xml:space="preserve">(4,500)</w:t>
            </w:r>
          </w:p>
        </w:tc>
        <w:tc>
          <w:tcPr/>
          <w:p>
            <w:pPr>
              <w:pStyle w:val="Compact"/>
            </w:pPr>
            <w:r>
              <w:t xml:space="preserve">(7,500)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Free Cash Flow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(5,100)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(9,300)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(13,200)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(13,300)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(4,700)</w:t>
            </w:r>
          </w:p>
        </w:tc>
      </w:tr>
    </w:tbl>
    <w:p>
      <w:pPr>
        <w:pStyle w:val="Heading2"/>
      </w:pPr>
      <w:bookmarkStart w:id="12" w:name="_e693f891c2ca962bad74223b4ace61fb5ab9c60"/>
      <w:r>
        <w:t xml:space="preserve">3. Discount Factors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Year</w:t>
            </w:r>
          </w:p>
        </w:tc>
        <w:tc>
          <w:tcPr/>
          <w:p>
            <w:pPr>
              <w:pStyle w:val="Compact"/>
            </w:pPr>
            <w:r>
              <w:t xml:space="preserve">FCF</w:t>
            </w:r>
          </w:p>
        </w:tc>
        <w:tc>
          <w:tcPr/>
          <w:p>
            <w:pPr>
              <w:pStyle w:val="Compact"/>
            </w:pPr>
            <w:r>
              <w:t xml:space="preserve">DF @ 25%</w:t>
            </w:r>
          </w:p>
        </w:tc>
        <w:tc>
          <w:tcPr/>
          <w:p>
            <w:pPr>
              <w:pStyle w:val="Compact"/>
            </w:pPr>
            <w:r>
              <w:t xml:space="preserve">PV of FCF</w:t>
            </w:r>
          </w:p>
        </w:tc>
      </w:tr>
      <w:tr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(5,100)</w:t>
            </w:r>
          </w:p>
        </w:tc>
        <w:tc>
          <w:tcPr/>
          <w:p>
            <w:pPr>
              <w:pStyle w:val="Compact"/>
            </w:pPr>
            <w:r>
              <w:t xml:space="preserve">0.800</w:t>
            </w:r>
          </w:p>
        </w:tc>
        <w:tc>
          <w:tcPr/>
          <w:p>
            <w:pPr>
              <w:pStyle w:val="Compact"/>
            </w:pPr>
            <w:r>
              <w:t xml:space="preserve">(4,080)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(9,300)</w:t>
            </w:r>
          </w:p>
        </w:tc>
        <w:tc>
          <w:tcPr/>
          <w:p>
            <w:pPr>
              <w:pStyle w:val="Compact"/>
            </w:pPr>
            <w:r>
              <w:t xml:space="preserve">0.640</w:t>
            </w:r>
          </w:p>
        </w:tc>
        <w:tc>
          <w:tcPr/>
          <w:p>
            <w:pPr>
              <w:pStyle w:val="Compact"/>
            </w:pPr>
            <w:r>
              <w:t xml:space="preserve">(5,952)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(13,200)</w:t>
            </w:r>
          </w:p>
        </w:tc>
        <w:tc>
          <w:tcPr/>
          <w:p>
            <w:pPr>
              <w:pStyle w:val="Compact"/>
            </w:pPr>
            <w:r>
              <w:t xml:space="preserve">0.512</w:t>
            </w:r>
          </w:p>
        </w:tc>
        <w:tc>
          <w:tcPr/>
          <w:p>
            <w:pPr>
              <w:pStyle w:val="Compact"/>
            </w:pPr>
            <w:r>
              <w:t xml:space="preserve">(6,758)</w:t>
            </w:r>
          </w:p>
        </w:tc>
      </w:tr>
      <w:tr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(13,300)</w:t>
            </w:r>
          </w:p>
        </w:tc>
        <w:tc>
          <w:tcPr/>
          <w:p>
            <w:pPr>
              <w:pStyle w:val="Compact"/>
            </w:pPr>
            <w:r>
              <w:t xml:space="preserve">0.410</w:t>
            </w:r>
          </w:p>
        </w:tc>
        <w:tc>
          <w:tcPr/>
          <w:p>
            <w:pPr>
              <w:pStyle w:val="Compact"/>
            </w:pPr>
            <w:r>
              <w:t xml:space="preserve">(5,453)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Y5</w:t>
            </w:r>
          </w:p>
        </w:tc>
        <w:tc>
          <w:tcPr/>
          <w:p>
            <w:pPr>
              <w:pStyle w:val="Compact"/>
            </w:pPr>
            <w:r>
              <w:t xml:space="preserve">(4,700)</w:t>
            </w:r>
          </w:p>
        </w:tc>
        <w:tc>
          <w:tcPr/>
          <w:p>
            <w:pPr>
              <w:pStyle w:val="Compact"/>
            </w:pPr>
            <w:r>
              <w:t xml:space="preserve">0.328</w:t>
            </w:r>
          </w:p>
        </w:tc>
        <w:tc>
          <w:tcPr/>
          <w:p>
            <w:pPr>
              <w:pStyle w:val="Compact"/>
            </w:pPr>
            <w:r>
              <w:t xml:space="preserve">(1,541)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Sum PV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(23,784)</w:t>
            </w:r>
          </w:p>
        </w:tc>
      </w:tr>
    </w:tbl>
    <w:p>
      <w:pPr>
        <w:pStyle w:val="Heading2"/>
      </w:pPr>
      <w:bookmarkStart w:id="13" w:name="_d83fb99b9c55f85aceb511217b90f59f3b74a26"/>
      <w:r>
        <w:t xml:space="preserve">4. Terminal Value</w:t>
      </w:r>
    </w:p>
    <w:p>
      <w:pPr>
        <w:pStyle w:val="FirstParagraph"/>
      </w:pPr>
      <w:r>
        <w:rPr>
          <w:b/>
          <w:bCs/>
        </w:rPr>
        <w:t xml:space="preserve">Method:</w:t>
      </w:r>
      <w:r>
        <w:t xml:space="preserve"> </w:t>
      </w:r>
      <w:r>
        <w:t xml:space="preserve">Exit Multiple (8x revenue in Y5)</w:t>
      </w:r>
    </w:p>
    <w:p>
      <w:pPr>
        <w:pStyle w:val="BodyText"/>
      </w:pPr>
      <w:r>
        <w:t xml:space="preserve">Terminal Value = Y5 Revenue × 8 = 77,000 × 8 =</w:t>
      </w:r>
      <w:r>
        <w:t xml:space="preserve"> </w:t>
      </w:r>
      <w:r>
        <w:rPr>
          <w:b/>
          <w:bCs/>
        </w:rPr>
        <w:t xml:space="preserve">616,000</w:t>
      </w:r>
    </w:p>
    <w:p>
      <w:pPr>
        <w:pStyle w:val="BodyText"/>
      </w:pPr>
      <w:r>
        <w:t xml:space="preserve">PV of Terminal Value = 616,000 / (1.25)^5 =</w:t>
      </w:r>
      <w:r>
        <w:t xml:space="preserve"> </w:t>
      </w:r>
      <w:r>
        <w:rPr>
          <w:b/>
          <w:bCs/>
        </w:rPr>
        <w:t xml:space="preserve">201,961</w:t>
      </w:r>
    </w:p>
    <w:p>
      <w:pPr>
        <w:pStyle w:val="Heading2"/>
      </w:pPr>
      <w:bookmarkStart w:id="14" w:name="_6bfe3e2b576e3524ad7bb9921cf72301c29698c"/>
      <w:r>
        <w:t xml:space="preserve">5. Enterprise Value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Component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PV of Explicit FCF (Y1-Y5)</w:t>
            </w:r>
          </w:p>
        </w:tc>
        <w:tc>
          <w:tcPr/>
          <w:p>
            <w:pPr>
              <w:pStyle w:val="Compact"/>
            </w:pPr>
            <w:r>
              <w:t xml:space="preserve">(23,784)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PV of Terminal Value</w:t>
            </w:r>
          </w:p>
        </w:tc>
        <w:tc>
          <w:tcPr/>
          <w:p>
            <w:pPr>
              <w:pStyle w:val="Compact"/>
            </w:pPr>
            <w:r>
              <w:t xml:space="preserve">201,961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Enterprise Value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178,177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Less: Net Debt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Equity Value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178,177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Dilution for Future Rounds</w:t>
            </w:r>
          </w:p>
        </w:tc>
        <w:tc>
          <w:tcPr/>
          <w:p>
            <w:pPr>
              <w:pStyle w:val="Compact"/>
            </w:pPr>
            <w:r>
              <w:t xml:space="preserve">(40%)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Current Equity Value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106,906</w:t>
            </w:r>
          </w:p>
        </w:tc>
      </w:tr>
    </w:tbl>
    <w:p>
      <w:pPr>
        <w:pStyle w:val="Heading2"/>
      </w:pPr>
      <w:bookmarkStart w:id="15" w:name="_042c959a1edbfb15a27d2d7a19b2a82784fa44e"/>
      <w:r>
        <w:t xml:space="preserve">6. Sensitivity Analysis</w:t>
      </w:r>
    </w:p>
    <w:p>
      <w:pPr>
        <w:pStyle w:val="Heading3"/>
      </w:pPr>
      <w:bookmarkStart w:id="16" w:name="_15f13c5f7772c367f8e65614d85e30f8247411f"/>
      <w:r>
        <w:t xml:space="preserve">Enterprise Value at Various Discount Rates &amp; Exit Multiples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Discount Rate ↓ / Exit Multiple →</w:t>
            </w:r>
          </w:p>
        </w:tc>
        <w:tc>
          <w:tcPr/>
          <w:p>
            <w:pPr>
              <w:pStyle w:val="Compact"/>
            </w:pPr>
            <w:r>
              <w:t xml:space="preserve">6x</w:t>
            </w:r>
          </w:p>
        </w:tc>
        <w:tc>
          <w:tcPr/>
          <w:p>
            <w:pPr>
              <w:pStyle w:val="Compact"/>
            </w:pPr>
            <w:r>
              <w:t xml:space="preserve">8x</w:t>
            </w:r>
          </w:p>
        </w:tc>
        <w:tc>
          <w:tcPr/>
          <w:p>
            <w:pPr>
              <w:pStyle w:val="Compact"/>
            </w:pPr>
            <w:r>
              <w:t xml:space="preserve">10x</w:t>
            </w:r>
          </w:p>
        </w:tc>
        <w:tc>
          <w:tcPr/>
          <w:p>
            <w:pPr>
              <w:pStyle w:val="Compact"/>
            </w:pPr>
            <w:r>
              <w:t xml:space="preserve">12x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20%</w:t>
            </w:r>
          </w:p>
        </w:tc>
        <w:tc>
          <w:tcPr/>
          <w:p>
            <w:pPr>
              <w:pStyle w:val="Compact"/>
            </w:pPr>
            <w:r>
              <w:t xml:space="preserve">148,000</w:t>
            </w:r>
          </w:p>
        </w:tc>
        <w:tc>
          <w:tcPr/>
          <w:p>
            <w:pPr>
              <w:pStyle w:val="Compact"/>
            </w:pPr>
            <w:r>
              <w:t xml:space="preserve">196,000</w:t>
            </w:r>
          </w:p>
        </w:tc>
        <w:tc>
          <w:tcPr/>
          <w:p>
            <w:pPr>
              <w:pStyle w:val="Compact"/>
            </w:pPr>
            <w:r>
              <w:t xml:space="preserve">245,000</w:t>
            </w:r>
          </w:p>
        </w:tc>
        <w:tc>
          <w:tcPr/>
          <w:p>
            <w:pPr>
              <w:pStyle w:val="Compact"/>
            </w:pPr>
            <w:r>
              <w:t xml:space="preserve">294,000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25%</w:t>
            </w:r>
          </w:p>
        </w:tc>
        <w:tc>
          <w:tcPr/>
          <w:p>
            <w:pPr>
              <w:pStyle w:val="Compact"/>
            </w:pPr>
            <w:r>
              <w:t xml:space="preserve">119,000</w:t>
            </w:r>
          </w:p>
        </w:tc>
        <w:tc>
          <w:tcPr/>
          <w:p>
            <w:pPr>
              <w:pStyle w:val="Compact"/>
            </w:pPr>
            <w:r>
              <w:t xml:space="preserve">158,000</w:t>
            </w:r>
          </w:p>
        </w:tc>
        <w:tc>
          <w:tcPr/>
          <w:p>
            <w:pPr>
              <w:pStyle w:val="Compact"/>
            </w:pPr>
            <w:r>
              <w:t xml:space="preserve">197,000</w:t>
            </w:r>
          </w:p>
        </w:tc>
        <w:tc>
          <w:tcPr/>
          <w:p>
            <w:pPr>
              <w:pStyle w:val="Compact"/>
            </w:pPr>
            <w:r>
              <w:t xml:space="preserve">236,000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30%</w:t>
            </w:r>
          </w:p>
        </w:tc>
        <w:tc>
          <w:tcPr/>
          <w:p>
            <w:pPr>
              <w:pStyle w:val="Compact"/>
            </w:pPr>
            <w:r>
              <w:t xml:space="preserve">96,000</w:t>
            </w:r>
          </w:p>
        </w:tc>
        <w:tc>
          <w:tcPr/>
          <w:p>
            <w:pPr>
              <w:pStyle w:val="Compact"/>
            </w:pPr>
            <w:r>
              <w:t xml:space="preserve">127,000</w:t>
            </w:r>
          </w:p>
        </w:tc>
        <w:tc>
          <w:tcPr/>
          <w:p>
            <w:pPr>
              <w:pStyle w:val="Compact"/>
            </w:pPr>
            <w:r>
              <w:t xml:space="preserve">159,000</w:t>
            </w:r>
          </w:p>
        </w:tc>
        <w:tc>
          <w:tcPr/>
          <w:p>
            <w:pPr>
              <w:pStyle w:val="Compact"/>
            </w:pPr>
            <w:r>
              <w:t xml:space="preserve">190,000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35%</w:t>
            </w:r>
          </w:p>
        </w:tc>
        <w:tc>
          <w:tcPr/>
          <w:p>
            <w:pPr>
              <w:pStyle w:val="Compact"/>
            </w:pPr>
            <w:r>
              <w:t xml:space="preserve">78,000</w:t>
            </w:r>
          </w:p>
        </w:tc>
        <w:tc>
          <w:tcPr/>
          <w:p>
            <w:pPr>
              <w:pStyle w:val="Compact"/>
            </w:pPr>
            <w:r>
              <w:t xml:space="preserve">103,000</w:t>
            </w:r>
          </w:p>
        </w:tc>
        <w:tc>
          <w:tcPr/>
          <w:p>
            <w:pPr>
              <w:pStyle w:val="Compact"/>
            </w:pPr>
            <w:r>
              <w:t xml:space="preserve">128,000</w:t>
            </w:r>
          </w:p>
        </w:tc>
        <w:tc>
          <w:tcPr/>
          <w:p>
            <w:pPr>
              <w:pStyle w:val="Compact"/>
            </w:pPr>
            <w:r>
              <w:t xml:space="preserve">153,000</w:t>
            </w:r>
          </w:p>
        </w:tc>
      </w:tr>
    </w:tbl>
    <w:p>
      <w:pPr>
        <w:pStyle w:val="Heading2"/>
      </w:pPr>
      <w:bookmarkStart w:id="17" w:name="_interpretation"/>
      <w:r>
        <w:t xml:space="preserve">7. Interpretation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Base Case EV:</w:t>
      </w:r>
      <w:r>
        <w:t xml:space="preserve"> </w:t>
      </w:r>
      <w:r>
        <w:t xml:space="preserve">SAR 178M (at 25% WACC, 8x exit)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Conservative:</w:t>
      </w:r>
      <w:r>
        <w:t xml:space="preserve"> </w:t>
      </w:r>
      <w:r>
        <w:t xml:space="preserve">SAR 127M (30% WACC, 8x)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Aggressive:</w:t>
      </w:r>
      <w:r>
        <w:t xml:space="preserve"> </w:t>
      </w:r>
      <w:r>
        <w:t xml:space="preserve">SAR 236M (25% WACC, 12x)</w:t>
      </w:r>
    </w:p>
    <w:p>
      <w:pPr>
        <w:pStyle w:val="FirstParagraph"/>
      </w:pPr>
      <w:r>
        <w:rPr>
          <w:b/>
          <w:bCs/>
        </w:rPr>
        <w:t xml:space="preserve">Current pre-money target SAR 30M</w:t>
      </w:r>
      <w:r>
        <w:t xml:space="preserve"> </w:t>
      </w:r>
      <w:r>
        <w:t xml:space="preserve">is conservative relative to DCF-driven EV potential.</w:t>
      </w:r>
    </w:p>
    <w:p>
      <w:pPr>
        <w:pStyle w:val="Heading2"/>
      </w:pPr>
      <w:bookmarkStart w:id="18" w:name="_6effe70b4f7df0207bebbbc8e94778b6f8e78f9"/>
      <w:r>
        <w:t xml:space="preserve">8. DCF vs Target Valuation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Value (SAR)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DCF (Base)</w:t>
            </w:r>
          </w:p>
        </w:tc>
        <w:tc>
          <w:tcPr/>
          <w:p>
            <w:pPr>
              <w:pStyle w:val="Compact"/>
            </w:pPr>
            <w:r>
              <w:t xml:space="preserve">178,000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Comparable Companies</w:t>
            </w:r>
          </w:p>
        </w:tc>
        <w:tc>
          <w:tcPr/>
          <w:p>
            <w:pPr>
              <w:pStyle w:val="Compact"/>
            </w:pPr>
            <w:r>
              <w:t xml:space="preserve">45,000 – 90,000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Precedent Transactions</w:t>
            </w:r>
          </w:p>
        </w:tc>
        <w:tc>
          <w:tcPr/>
          <w:p>
            <w:pPr>
              <w:pStyle w:val="Compact"/>
            </w:pPr>
            <w:r>
              <w:t xml:space="preserve">60,000 – 120,000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Replacement Cost</w:t>
            </w:r>
          </w:p>
        </w:tc>
        <w:tc>
          <w:tcPr/>
          <w:p>
            <w:pPr>
              <w:pStyle w:val="Compact"/>
            </w:pPr>
            <w:r>
              <w:t xml:space="preserve">25,000 – 40,000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Selected Anchor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Rationale</w:t>
            </w:r>
          </w:p>
        </w:tc>
        <w:tc>
          <w:tcPr/>
          <w:p>
            <w:pPr>
              <w:pStyle w:val="Compact"/>
            </w:pPr>
            <w:r>
              <w:t xml:space="preserve">Negotiated for early-stage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DCF is one methodology among several. Management anchor remains SAR 30M for the seed round.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 DCF Valuation</dc:title>
  <dc:creator>HISN Platform</dc:creator>
  <cp:keywords>HISN, FCDOS, financial crime, decision operating system</cp:keywords>
  <dcterms:created xsi:type="dcterms:W3CDTF">2026-10-14T09:31:48Z</dcterms:created>
  <dcterms:modified xsi:type="dcterms:W3CDTF">2026-10-14T09:31:48Z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