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06_Comparable_Companies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4408f72d5326fb82e06b52d6977c43f40a3d349"/>
      <w:r>
        <w:t xml:space="preserve">COMPARABLE COMPANIES ANALYSIS</w:t>
      </w:r>
    </w:p>
    <w:p>
      <w:pPr>
        <w:pStyle w:val="FirstParagraph"/>
      </w:pPr>
      <w:r>
        <w:rPr>
          <w:b/>
          <w:bCs/>
        </w:rPr>
        <w:t xml:space="preserve">Currency:</w:t>
      </w:r>
      <w:r>
        <w:t xml:space="preserve"> </w:t>
      </w:r>
      <w:r>
        <w:t xml:space="preserve">USD / SAR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14 October 2026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methodology"/>
      <w:r>
        <w:t xml:space="preserve">1. Methodology</w:t>
      </w:r>
    </w:p>
    <w:p>
      <w:pPr>
        <w:pStyle w:val="FirstParagraph"/>
      </w:pPr>
      <w:r>
        <w:rPr>
          <w:b/>
          <w:bCs/>
        </w:rPr>
        <w:t xml:space="preserve">Approach:</w:t>
      </w:r>
      <w:r>
        <w:t xml:space="preserve"> </w:t>
      </w:r>
      <w:r>
        <w:t xml:space="preserve">Public company comparables + disclosed private rounds</w:t>
      </w:r>
    </w:p>
    <w:p>
      <w:pPr>
        <w:pStyle w:val="BodyText"/>
      </w:pPr>
      <w:r>
        <w:rPr>
          <w:b/>
          <w:bCs/>
        </w:rPr>
        <w:t xml:space="preserve">Metrics:</w:t>
      </w:r>
      <w:r>
        <w:t xml:space="preserve"> </w:t>
      </w:r>
      <w:r>
        <w:t xml:space="preserve">- EV/Revenue (forward)</w:t>
      </w:r>
      <w:r>
        <w:t xml:space="preserve"> </w:t>
      </w:r>
      <w:r>
        <w:t xml:space="preserve">- EV/ARR</w:t>
      </w:r>
      <w:r>
        <w:t xml:space="preserve"> </w:t>
      </w:r>
      <w:r>
        <w:t xml:space="preserve">- EV/EBITDA</w:t>
      </w:r>
      <w:r>
        <w:t xml:space="preserve"> </w:t>
      </w:r>
      <w:r>
        <w:t xml:space="preserve">- Revenue growth rate</w:t>
      </w:r>
      <w:r>
        <w:t xml:space="preserve"> </w:t>
      </w:r>
      <w:r>
        <w:t xml:space="preserve">- Gross margin</w:t>
      </w:r>
    </w:p>
    <w:p>
      <w:pPr>
        <w:pStyle w:val="Heading2"/>
      </w:pPr>
      <w:bookmarkStart w:id="11" w:name="_61c7e7e5b6e95a47960be86508fc9bce513fba5"/>
      <w:r>
        <w:t xml:space="preserve">2. Public Comparables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Company</w:t>
            </w:r>
          </w:p>
        </w:tc>
        <w:tc>
          <w:tcPr/>
          <w:p>
            <w:pPr>
              <w:pStyle w:val="Compact"/>
            </w:pPr>
            <w:r>
              <w:t xml:space="preserve">EV (USD M)</w:t>
            </w:r>
          </w:p>
        </w:tc>
        <w:tc>
          <w:tcPr/>
          <w:p>
            <w:pPr>
              <w:pStyle w:val="Compact"/>
            </w:pPr>
            <w:r>
              <w:t xml:space="preserve">Revenue (USD M)</w:t>
            </w:r>
          </w:p>
        </w:tc>
        <w:tc>
          <w:tcPr/>
          <w:p>
            <w:pPr>
              <w:pStyle w:val="Compact"/>
            </w:pPr>
            <w:r>
              <w:t xml:space="preserve">Growth</w:t>
            </w:r>
          </w:p>
        </w:tc>
        <w:tc>
          <w:tcPr/>
          <w:p>
            <w:pPr>
              <w:pStyle w:val="Compact"/>
            </w:pPr>
            <w:r>
              <w:t xml:space="preserve">EV/Rev</w:t>
            </w:r>
          </w:p>
        </w:tc>
        <w:tc>
          <w:tcPr/>
          <w:p>
            <w:pPr>
              <w:pStyle w:val="Compact"/>
            </w:pPr>
            <w:r>
              <w:t xml:space="preserve">Gross Margin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NICE</w:t>
            </w:r>
          </w:p>
        </w:tc>
        <w:tc>
          <w:tcPr/>
          <w:p>
            <w:pPr>
              <w:pStyle w:val="Compact"/>
            </w:pPr>
            <w:r>
              <w:t xml:space="preserve">15,000</w:t>
            </w:r>
          </w:p>
        </w:tc>
        <w:tc>
          <w:tcPr/>
          <w:p>
            <w:pPr>
              <w:pStyle w:val="Compact"/>
            </w:pPr>
            <w:r>
              <w:t xml:space="preserve">2,400</w:t>
            </w:r>
          </w:p>
        </w:tc>
        <w:tc>
          <w:tcPr/>
          <w:p>
            <w:pPr>
              <w:pStyle w:val="Compact"/>
            </w:pPr>
            <w:r>
              <w:t xml:space="preserve">10%</w:t>
            </w:r>
          </w:p>
        </w:tc>
        <w:tc>
          <w:tcPr/>
          <w:p>
            <w:pPr>
              <w:pStyle w:val="Compact"/>
            </w:pPr>
            <w:r>
              <w:t xml:space="preserve">6.3x</w:t>
            </w:r>
          </w:p>
        </w:tc>
        <w:tc>
          <w:tcPr/>
          <w:p>
            <w:pPr>
              <w:pStyle w:val="Compact"/>
            </w:pPr>
            <w:r>
              <w:t xml:space="preserve">70%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SAS (private)</w:t>
            </w:r>
          </w:p>
        </w:tc>
        <w:tc>
          <w:tcPr/>
          <w:p>
            <w:pPr>
              <w:pStyle w:val="Compact"/>
            </w:pPr>
            <w:r>
              <w:t xml:space="preserve">~10,000</w:t>
            </w:r>
          </w:p>
        </w:tc>
        <w:tc>
          <w:tcPr/>
          <w:p>
            <w:pPr>
              <w:pStyle w:val="Compact"/>
            </w:pPr>
            <w:r>
              <w:t xml:space="preserve">3,000</w:t>
            </w:r>
          </w:p>
        </w:tc>
        <w:tc>
          <w:tcPr/>
          <w:p>
            <w:pPr>
              <w:pStyle w:val="Compact"/>
            </w:pPr>
            <w:r>
              <w:t xml:space="preserve">5%</w:t>
            </w:r>
          </w:p>
        </w:tc>
        <w:tc>
          <w:tcPr/>
          <w:p>
            <w:pPr>
              <w:pStyle w:val="Compact"/>
            </w:pPr>
            <w:r>
              <w:t xml:space="preserve">3.3x</w:t>
            </w:r>
          </w:p>
        </w:tc>
        <w:tc>
          <w:tcPr/>
          <w:p>
            <w:pPr>
              <w:pStyle w:val="Compact"/>
            </w:pPr>
            <w:r>
              <w:t xml:space="preserve">65%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Oracle (FSGBU)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FICO</w:t>
            </w:r>
          </w:p>
        </w:tc>
        <w:tc>
          <w:tcPr/>
          <w:p>
            <w:pPr>
              <w:pStyle w:val="Compact"/>
            </w:pPr>
            <w:r>
              <w:t xml:space="preserve">45,000</w:t>
            </w:r>
          </w:p>
        </w:tc>
        <w:tc>
          <w:tcPr/>
          <w:p>
            <w:pPr>
              <w:pStyle w:val="Compact"/>
            </w:pPr>
            <w:r>
              <w:t xml:space="preserve">1,700</w:t>
            </w:r>
          </w:p>
        </w:tc>
        <w:tc>
          <w:tcPr/>
          <w:p>
            <w:pPr>
              <w:pStyle w:val="Compact"/>
            </w:pPr>
            <w:r>
              <w:t xml:space="preserve">15%</w:t>
            </w:r>
          </w:p>
        </w:tc>
        <w:tc>
          <w:tcPr/>
          <w:p>
            <w:pPr>
              <w:pStyle w:val="Compact"/>
            </w:pPr>
            <w:r>
              <w:t xml:space="preserve">26.5x</w:t>
            </w:r>
          </w:p>
        </w:tc>
        <w:tc>
          <w:tcPr/>
          <w:p>
            <w:pPr>
              <w:pStyle w:val="Compact"/>
            </w:pPr>
            <w:r>
              <w:t xml:space="preserve">80%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Moody’s</w:t>
            </w:r>
          </w:p>
        </w:tc>
        <w:tc>
          <w:tcPr/>
          <w:p>
            <w:pPr>
              <w:pStyle w:val="Compact"/>
            </w:pPr>
            <w:r>
              <w:t xml:space="preserve">75,000</w:t>
            </w:r>
          </w:p>
        </w:tc>
        <w:tc>
          <w:tcPr/>
          <w:p>
            <w:pPr>
              <w:pStyle w:val="Compact"/>
            </w:pPr>
            <w:r>
              <w:t xml:space="preserve">6,000</w:t>
            </w:r>
          </w:p>
        </w:tc>
        <w:tc>
          <w:tcPr/>
          <w:p>
            <w:pPr>
              <w:pStyle w:val="Compact"/>
            </w:pPr>
            <w:r>
              <w:t xml:space="preserve">8%</w:t>
            </w:r>
          </w:p>
        </w:tc>
        <w:tc>
          <w:tcPr/>
          <w:p>
            <w:pPr>
              <w:pStyle w:val="Compact"/>
            </w:pPr>
            <w:r>
              <w:t xml:space="preserve">12.5x</w:t>
            </w:r>
          </w:p>
        </w:tc>
        <w:tc>
          <w:tcPr/>
          <w:p>
            <w:pPr>
              <w:pStyle w:val="Compact"/>
            </w:pPr>
            <w:r>
              <w:t xml:space="preserve">65%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Salesforce</w:t>
            </w:r>
          </w:p>
        </w:tc>
        <w:tc>
          <w:tcPr/>
          <w:p>
            <w:pPr>
              <w:pStyle w:val="Compact"/>
            </w:pPr>
            <w:r>
              <w:t xml:space="preserve">280,000</w:t>
            </w:r>
          </w:p>
        </w:tc>
        <w:tc>
          <w:tcPr/>
          <w:p>
            <w:pPr>
              <w:pStyle w:val="Compact"/>
            </w:pPr>
            <w:r>
              <w:t xml:space="preserve">38,000</w:t>
            </w:r>
          </w:p>
        </w:tc>
        <w:tc>
          <w:tcPr/>
          <w:p>
            <w:pPr>
              <w:pStyle w:val="Compact"/>
            </w:pPr>
            <w:r>
              <w:t xml:space="preserve">11%</w:t>
            </w:r>
          </w:p>
        </w:tc>
        <w:tc>
          <w:tcPr/>
          <w:p>
            <w:pPr>
              <w:pStyle w:val="Compact"/>
            </w:pPr>
            <w:r>
              <w:t xml:space="preserve">7.4x</w:t>
            </w:r>
          </w:p>
        </w:tc>
        <w:tc>
          <w:tcPr/>
          <w:p>
            <w:pPr>
              <w:pStyle w:val="Compact"/>
            </w:pPr>
            <w:r>
              <w:t xml:space="preserve">75%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Workday</w:t>
            </w:r>
          </w:p>
        </w:tc>
        <w:tc>
          <w:tcPr/>
          <w:p>
            <w:pPr>
              <w:pStyle w:val="Compact"/>
            </w:pPr>
            <w:r>
              <w:t xml:space="preserve">65,000</w:t>
            </w:r>
          </w:p>
        </w:tc>
        <w:tc>
          <w:tcPr/>
          <w:p>
            <w:pPr>
              <w:pStyle w:val="Compact"/>
            </w:pPr>
            <w:r>
              <w:t xml:space="preserve">7,500</w:t>
            </w:r>
          </w:p>
        </w:tc>
        <w:tc>
          <w:tcPr/>
          <w:p>
            <w:pPr>
              <w:pStyle w:val="Compact"/>
            </w:pPr>
            <w:r>
              <w:t xml:space="preserve">17%</w:t>
            </w:r>
          </w:p>
        </w:tc>
        <w:tc>
          <w:tcPr/>
          <w:p>
            <w:pPr>
              <w:pStyle w:val="Compact"/>
            </w:pPr>
            <w:r>
              <w:t xml:space="preserve">8.7x</w:t>
            </w:r>
          </w:p>
        </w:tc>
        <w:tc>
          <w:tcPr/>
          <w:p>
            <w:pPr>
              <w:pStyle w:val="Compact"/>
            </w:pPr>
            <w:r>
              <w:t xml:space="preserve">75%</w:t>
            </w:r>
          </w:p>
        </w:tc>
      </w:tr>
    </w:tbl>
    <w:p>
      <w:pPr>
        <w:pStyle w:val="Heading2"/>
      </w:pPr>
      <w:bookmarkStart w:id="12" w:name="_778611de32f3fd27257aadaa94a30c2c056a1bb"/>
      <w:r>
        <w:t xml:space="preserve">3. RegTech-Specific Comparables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Company</w:t>
            </w:r>
          </w:p>
        </w:tc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Valuation (USD M)</w:t>
            </w:r>
          </w:p>
        </w:tc>
        <w:tc>
          <w:tcPr/>
          <w:p>
            <w:pPr>
              <w:pStyle w:val="Compact"/>
            </w:pPr>
            <w:r>
              <w:t xml:space="preserve">Revenue (USD M)</w:t>
            </w:r>
          </w:p>
        </w:tc>
        <w:tc>
          <w:tcPr/>
          <w:p>
            <w:pPr>
              <w:pStyle w:val="Compact"/>
            </w:pPr>
            <w:r>
              <w:t xml:space="preserve">EV/Rev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Chainalysis</w:t>
            </w:r>
          </w:p>
        </w:tc>
        <w:tc>
          <w:tcPr/>
          <w:p>
            <w:pPr>
              <w:pStyle w:val="Compact"/>
            </w:pPr>
            <w:r>
              <w:t xml:space="preserve">Blockchain analytics</w:t>
            </w:r>
          </w:p>
        </w:tc>
        <w:tc>
          <w:tcPr/>
          <w:p>
            <w:pPr>
              <w:pStyle w:val="Compact"/>
            </w:pPr>
            <w:r>
              <w:t xml:space="preserve">8,600</w:t>
            </w:r>
          </w:p>
        </w:tc>
        <w:tc>
          <w:tcPr/>
          <w:p>
            <w:pPr>
              <w:pStyle w:val="Compact"/>
            </w:pPr>
            <w:r>
              <w:t xml:space="preserve">200</w:t>
            </w:r>
          </w:p>
        </w:tc>
        <w:tc>
          <w:tcPr/>
          <w:p>
            <w:pPr>
              <w:pStyle w:val="Compact"/>
            </w:pPr>
            <w:r>
              <w:t xml:space="preserve">43x</w:t>
            </w:r>
          </w:p>
        </w:tc>
      </w:tr>
      <w:tr>
        <w:tc>
          <w:tcPr/>
          <w:p>
            <w:pPr>
              <w:pStyle w:val="Compact"/>
            </w:pPr>
            <w:r>
              <w:t xml:space="preserve">Feedzai</w:t>
            </w:r>
          </w:p>
        </w:tc>
        <w:tc>
          <w:tcPr/>
          <w:p>
            <w:pPr>
              <w:pStyle w:val="Compact"/>
            </w:pPr>
            <w:r>
              <w:t xml:space="preserve">Fraud AI</w:t>
            </w:r>
          </w:p>
        </w:tc>
        <w:tc>
          <w:tcPr/>
          <w:p>
            <w:pPr>
              <w:pStyle w:val="Compact"/>
            </w:pPr>
            <w:r>
              <w:t xml:space="preserve">2,000</w:t>
            </w:r>
          </w:p>
        </w:tc>
        <w:tc>
          <w:tcPr/>
          <w:p>
            <w:pPr>
              <w:pStyle w:val="Compact"/>
            </w:pPr>
            <w:r>
              <w:t xml:space="preserve">200</w:t>
            </w:r>
          </w:p>
        </w:tc>
        <w:tc>
          <w:tcPr/>
          <w:p>
            <w:pPr>
              <w:pStyle w:val="Compact"/>
            </w:pPr>
            <w:r>
              <w:t xml:space="preserve">10x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Quantexa</w:t>
            </w:r>
          </w:p>
        </w:tc>
        <w:tc>
          <w:tcPr/>
          <w:p>
            <w:pPr>
              <w:pStyle w:val="Compact"/>
            </w:pPr>
            <w:r>
              <w:t xml:space="preserve">Graph intelligence</w:t>
            </w:r>
          </w:p>
        </w:tc>
        <w:tc>
          <w:tcPr/>
          <w:p>
            <w:pPr>
              <w:pStyle w:val="Compact"/>
            </w:pPr>
            <w:r>
              <w:t xml:space="preserve">1,800</w:t>
            </w:r>
          </w:p>
        </w:tc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12x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ComplyAdvantage</w:t>
            </w:r>
          </w:p>
        </w:tc>
        <w:tc>
          <w:tcPr/>
          <w:p>
            <w:pPr>
              <w:pStyle w:val="Compact"/>
            </w:pPr>
            <w:r>
              <w:t xml:space="preserve">Screening</w:t>
            </w:r>
          </w:p>
        </w:tc>
        <w:tc>
          <w:tcPr/>
          <w:p>
            <w:pPr>
              <w:pStyle w:val="Compact"/>
            </w:pPr>
            <w:r>
              <w:t xml:space="preserve">1,400</w:t>
            </w:r>
          </w:p>
        </w:tc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14x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Sardine</w:t>
            </w:r>
          </w:p>
        </w:tc>
        <w:tc>
          <w:tcPr/>
          <w:p>
            <w:pPr>
              <w:pStyle w:val="Compact"/>
            </w:pPr>
            <w:r>
              <w:t xml:space="preserve">Fraud</w:t>
            </w:r>
          </w:p>
        </w:tc>
        <w:tc>
          <w:tcPr/>
          <w:p>
            <w:pPr>
              <w:pStyle w:val="Compact"/>
            </w:pPr>
            <w:r>
              <w:t xml:space="preserve">800</w:t>
            </w:r>
          </w:p>
        </w:tc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16x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Alloy</w:t>
            </w:r>
          </w:p>
        </w:tc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1,500</w:t>
            </w:r>
          </w:p>
        </w:tc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15x</w:t>
            </w:r>
          </w:p>
        </w:tc>
      </w:tr>
      <w:tr>
        <w:tc>
          <w:tcPr/>
          <w:p>
            <w:pPr>
              <w:pStyle w:val="Compact"/>
            </w:pPr>
            <w:r>
              <w:t xml:space="preserve">Unit21</w:t>
            </w:r>
          </w:p>
        </w:tc>
        <w:tc>
          <w:tcPr/>
          <w:p>
            <w:pPr>
              <w:pStyle w:val="Compact"/>
            </w:pPr>
            <w:r>
              <w:t xml:space="preserve">Fraud</w:t>
            </w:r>
          </w:p>
        </w:tc>
        <w:tc>
          <w:tcPr/>
          <w:p>
            <w:pPr>
              <w:pStyle w:val="Compact"/>
            </w:pPr>
            <w:r>
              <w:t xml:space="preserve">800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20x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Average RegTech multiple (private):</w:t>
      </w:r>
      <w:r>
        <w:t xml:space="preserve"> </w:t>
      </w:r>
      <w:r>
        <w:t xml:space="preserve">10-15x revenue</w:t>
      </w:r>
    </w:p>
    <w:p>
      <w:pPr>
        <w:pStyle w:val="Heading2"/>
      </w:pPr>
      <w:bookmarkStart w:id="13" w:name="_0bf1da209cf8a4ecef702fcb499a0b24eff7960"/>
      <w:r>
        <w:t xml:space="preserve">4. Private SaaS Multiples (MENA)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Pre-Money Range</w:t>
            </w:r>
          </w:p>
        </w:tc>
        <w:tc>
          <w:tcPr/>
          <w:p>
            <w:pPr>
              <w:pStyle w:val="Compact"/>
            </w:pPr>
            <w:r>
              <w:t xml:space="preserve">Multiple Range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Pre-Seed</w:t>
            </w:r>
          </w:p>
        </w:tc>
        <w:tc>
          <w:tcPr/>
          <w:p>
            <w:pPr>
              <w:pStyle w:val="Compact"/>
            </w:pPr>
            <w:r>
              <w:t xml:space="preserve">USD 2-5M</w:t>
            </w:r>
          </w:p>
        </w:tc>
        <w:tc>
          <w:tcPr/>
          <w:p>
            <w:pPr>
              <w:pStyle w:val="Compact"/>
            </w:pPr>
            <w:r>
              <w:t xml:space="preserve">3-5x forward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Seed</w:t>
            </w:r>
          </w:p>
        </w:tc>
        <w:tc>
          <w:tcPr/>
          <w:p>
            <w:pPr>
              <w:pStyle w:val="Compact"/>
            </w:pPr>
            <w:r>
              <w:t xml:space="preserve">USD 5-15M</w:t>
            </w:r>
          </w:p>
        </w:tc>
        <w:tc>
          <w:tcPr/>
          <w:p>
            <w:pPr>
              <w:pStyle w:val="Compact"/>
            </w:pPr>
            <w:r>
              <w:t xml:space="preserve">5-10x forward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Series A</w:t>
            </w:r>
          </w:p>
        </w:tc>
        <w:tc>
          <w:tcPr/>
          <w:p>
            <w:pPr>
              <w:pStyle w:val="Compact"/>
            </w:pPr>
            <w:r>
              <w:t xml:space="preserve">USD 15-50M</w:t>
            </w:r>
          </w:p>
        </w:tc>
        <w:tc>
          <w:tcPr/>
          <w:p>
            <w:pPr>
              <w:pStyle w:val="Compact"/>
            </w:pPr>
            <w:r>
              <w:t xml:space="preserve">8-15x forward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Series B</w:t>
            </w:r>
          </w:p>
        </w:tc>
        <w:tc>
          <w:tcPr/>
          <w:p>
            <w:pPr>
              <w:pStyle w:val="Compact"/>
            </w:pPr>
            <w:r>
              <w:t xml:space="preserve">USD 50-200M</w:t>
            </w:r>
          </w:p>
        </w:tc>
        <w:tc>
          <w:tcPr/>
          <w:p>
            <w:pPr>
              <w:pStyle w:val="Compact"/>
            </w:pPr>
            <w:r>
              <w:t xml:space="preserve">10-20x forward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HISN at Seed:</w:t>
      </w:r>
      <w:r>
        <w:t xml:space="preserve"> </w:t>
      </w:r>
      <w:r>
        <w:t xml:space="preserve">SAR 30M (USD 8M) =</w:t>
      </w:r>
      <w:r>
        <w:t xml:space="preserve"> </w:t>
      </w:r>
      <w:r>
        <w:rPr>
          <w:b/>
          <w:bCs/>
        </w:rPr>
        <w:t xml:space="preserve">1.5-3x forward revenue</w:t>
      </w:r>
      <w:r>
        <w:t xml:space="preserve"> </w:t>
      </w:r>
      <w:r>
        <w:t xml:space="preserve">— conservative</w:t>
      </w:r>
    </w:p>
    <w:p>
      <w:pPr>
        <w:pStyle w:val="Heading2"/>
      </w:pPr>
      <w:bookmarkStart w:id="14" w:name="_e69b9056ad44d1b71f3e7bd6fa8ce69cbab42ee"/>
      <w:r>
        <w:t xml:space="preserve">5. Revenue Multiple Application</w:t>
      </w:r>
    </w:p>
    <w:p>
      <w:pPr>
        <w:pStyle w:val="FirstParagraph"/>
      </w:pPr>
      <w:r>
        <w:rPr>
          <w:b/>
          <w:bCs/>
        </w:rPr>
        <w:t xml:space="preserve">HISN Y3 Forward Revenue:</w:t>
      </w:r>
      <w:r>
        <w:t xml:space="preserve"> </w:t>
      </w:r>
      <w:r>
        <w:t xml:space="preserve">SAR 13M (USD 3.5M)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Multiple</w:t>
            </w:r>
          </w:p>
        </w:tc>
        <w:tc>
          <w:tcPr/>
          <w:p>
            <w:pPr>
              <w:pStyle w:val="Compact"/>
            </w:pPr>
            <w:r>
              <w:t xml:space="preserve">Implied EV (SAR 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5x</w:t>
            </w:r>
          </w:p>
        </w:tc>
        <w:tc>
          <w:tcPr/>
          <w:p>
            <w:pPr>
              <w:pStyle w:val="Compact"/>
            </w:pPr>
            <w:r>
              <w:t xml:space="preserve">65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8x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10x</w:t>
            </w:r>
          </w:p>
        </w:tc>
        <w:tc>
          <w:tcPr/>
          <w:p>
            <w:pPr>
              <w:pStyle w:val="Compact"/>
            </w:pPr>
            <w:r>
              <w:t xml:space="preserve">130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15x</w:t>
            </w:r>
          </w:p>
        </w:tc>
        <w:tc>
          <w:tcPr/>
          <w:p>
            <w:pPr>
              <w:pStyle w:val="Compact"/>
            </w:pPr>
            <w:r>
              <w:t xml:space="preserve">195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HISN Pre-Money:</w:t>
      </w:r>
      <w:r>
        <w:t xml:space="preserve"> </w:t>
      </w:r>
      <w:r>
        <w:t xml:space="preserve">SAR 30M =</w:t>
      </w:r>
      <w:r>
        <w:t xml:space="preserve"> </w:t>
      </w:r>
      <w:r>
        <w:rPr>
          <w:b/>
          <w:bCs/>
        </w:rPr>
        <w:t xml:space="preserve">2.3x Y3 revenue</w:t>
      </w:r>
      <w:r>
        <w:t xml:space="preserve"> </w:t>
      </w:r>
      <w:r>
        <w:t xml:space="preserve">(very conservative)</w:t>
      </w:r>
    </w:p>
    <w:p>
      <w:pPr>
        <w:pStyle w:val="Heading2"/>
      </w:pPr>
      <w:bookmarkStart w:id="15" w:name="_558d12a4477a1bd2ffc79e91fd41bea81bb9e76"/>
      <w:r>
        <w:t xml:space="preserve">6. Growth-Adjusted Multiple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Company</w:t>
            </w:r>
          </w:p>
        </w:tc>
        <w:tc>
          <w:tcPr/>
          <w:p>
            <w:pPr>
              <w:pStyle w:val="Compact"/>
            </w:pPr>
            <w:r>
              <w:t xml:space="preserve">Growth</w:t>
            </w:r>
          </w:p>
        </w:tc>
        <w:tc>
          <w:tcPr/>
          <w:p>
            <w:pPr>
              <w:pStyle w:val="Compact"/>
            </w:pPr>
            <w:r>
              <w:t xml:space="preserve">EV/Rev</w:t>
            </w:r>
          </w:p>
        </w:tc>
        <w:tc>
          <w:tcPr/>
          <w:p>
            <w:pPr>
              <w:pStyle w:val="Compact"/>
            </w:pPr>
            <w:r>
              <w:t xml:space="preserve">Multiple/Growth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Workday</w:t>
            </w:r>
          </w:p>
        </w:tc>
        <w:tc>
          <w:tcPr/>
          <w:p>
            <w:pPr>
              <w:pStyle w:val="Compact"/>
            </w:pPr>
            <w:r>
              <w:t xml:space="preserve">17%</w:t>
            </w:r>
          </w:p>
        </w:tc>
        <w:tc>
          <w:tcPr/>
          <w:p>
            <w:pPr>
              <w:pStyle w:val="Compact"/>
            </w:pPr>
            <w:r>
              <w:t xml:space="preserve">8.7x</w:t>
            </w:r>
          </w:p>
        </w:tc>
        <w:tc>
          <w:tcPr/>
          <w:p>
            <w:pPr>
              <w:pStyle w:val="Compact"/>
            </w:pPr>
            <w:r>
              <w:t xml:space="preserve">0.51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Salesforce</w:t>
            </w:r>
          </w:p>
        </w:tc>
        <w:tc>
          <w:tcPr/>
          <w:p>
            <w:pPr>
              <w:pStyle w:val="Compact"/>
            </w:pPr>
            <w:r>
              <w:t xml:space="preserve">11%</w:t>
            </w:r>
          </w:p>
        </w:tc>
        <w:tc>
          <w:tcPr/>
          <w:p>
            <w:pPr>
              <w:pStyle w:val="Compact"/>
            </w:pPr>
            <w:r>
              <w:t xml:space="preserve">7.4x</w:t>
            </w:r>
          </w:p>
        </w:tc>
        <w:tc>
          <w:tcPr/>
          <w:p>
            <w:pPr>
              <w:pStyle w:val="Compact"/>
            </w:pPr>
            <w:r>
              <w:t xml:space="preserve">0.67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FICO</w:t>
            </w:r>
          </w:p>
        </w:tc>
        <w:tc>
          <w:tcPr/>
          <w:p>
            <w:pPr>
              <w:pStyle w:val="Compact"/>
            </w:pPr>
            <w:r>
              <w:t xml:space="preserve">15%</w:t>
            </w:r>
          </w:p>
        </w:tc>
        <w:tc>
          <w:tcPr/>
          <w:p>
            <w:pPr>
              <w:pStyle w:val="Compact"/>
            </w:pPr>
            <w:r>
              <w:t xml:space="preserve">26.5x</w:t>
            </w:r>
          </w:p>
        </w:tc>
        <w:tc>
          <w:tcPr/>
          <w:p>
            <w:pPr>
              <w:pStyle w:val="Compact"/>
            </w:pPr>
            <w:r>
              <w:t xml:space="preserve">1.77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Quantexa</w:t>
            </w:r>
          </w:p>
        </w:tc>
        <w:tc>
          <w:tcPr/>
          <w:p>
            <w:pPr>
              <w:pStyle w:val="Compact"/>
            </w:pPr>
            <w:r>
              <w:t xml:space="preserve">60%</w:t>
            </w:r>
          </w:p>
        </w:tc>
        <w:tc>
          <w:tcPr/>
          <w:p>
            <w:pPr>
              <w:pStyle w:val="Compact"/>
            </w:pPr>
            <w:r>
              <w:t xml:space="preserve">12.0x</w:t>
            </w:r>
          </w:p>
        </w:tc>
        <w:tc>
          <w:tcPr/>
          <w:p>
            <w:pPr>
              <w:pStyle w:val="Compact"/>
            </w:pPr>
            <w:r>
              <w:t xml:space="preserve">0.20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ComplyAdvantage</w:t>
            </w:r>
          </w:p>
        </w:tc>
        <w:tc>
          <w:tcPr/>
          <w:p>
            <w:pPr>
              <w:pStyle w:val="Compact"/>
            </w:pPr>
            <w:r>
              <w:t xml:space="preserve">50%</w:t>
            </w:r>
          </w:p>
        </w:tc>
        <w:tc>
          <w:tcPr/>
          <w:p>
            <w:pPr>
              <w:pStyle w:val="Compact"/>
            </w:pPr>
            <w:r>
              <w:t xml:space="preserve">14.0x</w:t>
            </w:r>
          </w:p>
        </w:tc>
        <w:tc>
          <w:tcPr/>
          <w:p>
            <w:pPr>
              <w:pStyle w:val="Compact"/>
            </w:pPr>
            <w:r>
              <w:t xml:space="preserve">0.28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HISN projected growth:</w:t>
      </w:r>
      <w:r>
        <w:t xml:space="preserve"> </w:t>
      </w:r>
      <w:r>
        <w:t xml:space="preserve">200%+ (Y1-Y3 CAGR) — implying higher multiple defensibility</w:t>
      </w:r>
    </w:p>
    <w:p>
      <w:pPr>
        <w:pStyle w:val="Heading2"/>
      </w:pPr>
      <w:bookmarkStart w:id="16" w:name="_f916052b44c74faa40532905eec3d169e44c007"/>
      <w:r>
        <w:t xml:space="preserve">7. Benchmark Range for HISN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Method</w:t>
            </w:r>
          </w:p>
        </w:tc>
        <w:tc>
          <w:tcPr/>
          <w:p>
            <w:pPr>
              <w:pStyle w:val="Compact"/>
            </w:pPr>
            <w:r>
              <w:t xml:space="preserve">Range (SAR 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Conservative (private early-stage)</w:t>
            </w:r>
          </w:p>
        </w:tc>
        <w:tc>
          <w:tcPr/>
          <w:p>
            <w:pPr>
              <w:pStyle w:val="Compact"/>
            </w:pPr>
            <w:r>
              <w:t xml:space="preserve">25 – 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Market (RegTech seed benchmark)</w:t>
            </w:r>
          </w:p>
        </w:tc>
        <w:tc>
          <w:tcPr/>
          <w:p>
            <w:pPr>
              <w:pStyle w:val="Compact"/>
            </w:pPr>
            <w:r>
              <w:t xml:space="preserve">40 – 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Growth-adjusted</w:t>
            </w:r>
          </w:p>
        </w:tc>
        <w:tc>
          <w:tcPr/>
          <w:p>
            <w:pPr>
              <w:pStyle w:val="Compact"/>
            </w:pPr>
            <w:r>
              <w:t xml:space="preserve">60 – 90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Selected Anchor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Rationale:</w:t>
      </w:r>
      <w:r>
        <w:t xml:space="preserve"> </w:t>
      </w:r>
      <w:r>
        <w:t xml:space="preserve">Early stage; anchor conservative to attract strategic investors.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Comparables derived from public data. Private rounds estimated from market intelligence.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 Comparable Companies</dc:title>
  <dc:creator>HISN Platform</dc:creator>
  <cp:keywords>HISN, FCDOS, financial crime, decision operating system</cp:keywords>
  <dcterms:created xsi:type="dcterms:W3CDTF">2026-10-14T09:31:48Z</dcterms:created>
  <dcterms:modified xsi:type="dcterms:W3CDTF">2026-10-14T09:31:48Z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