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08_Sensitivity_Analysis</w:t>
      </w:r>
    </w:p>
    <w:p>
      <w:pPr>
        <w:pStyle w:val="Author"/>
      </w:pPr>
      <w:r>
        <w:t xml:space="preserve">HISN Platform</w:t>
      </w:r>
    </w:p>
    <w:p>
      <w:pPr>
        <w:pStyle w:val="Heading1"/>
      </w:pPr>
      <w:bookmarkStart w:id="9" w:name="_042c959a1edbfb15a27d2d7a19b2a82784fa44e"/>
      <w:r>
        <w:t xml:space="preserve">SENSITIVITY ANALYSIS</w:t>
      </w:r>
    </w:p>
    <w:p>
      <w:pPr>
        <w:pStyle w:val="FirstParagraph"/>
      </w:pPr>
      <w:r>
        <w:rPr>
          <w:b/>
          <w:bCs/>
        </w:rPr>
        <w:t xml:space="preserve">Currency:</w:t>
      </w:r>
      <w:r>
        <w:t xml:space="preserve"> </w:t>
      </w:r>
      <w:r>
        <w:t xml:space="preserve">SAR (thousands) |</w:t>
      </w:r>
      <w:r>
        <w:t xml:space="preserve"> </w:t>
      </w:r>
      <w:r>
        <w:rPr>
          <w:b/>
          <w:bCs/>
        </w:rPr>
        <w:t xml:space="preserve">Date:</w:t>
      </w:r>
      <w:r>
        <w:t xml:space="preserve"> </w:t>
      </w:r>
      <w:r>
        <w:t xml:space="preserve">14 October 2026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10" w:name="_8a126fdc002ad84d537a39ca2470ff9185c0712"/>
      <w:r>
        <w:t xml:space="preserve">1. Revenue Sensitivity</w:t>
      </w:r>
    </w:p>
    <w:p>
      <w:pPr>
        <w:pStyle w:val="Heading3"/>
      </w:pPr>
      <w:bookmarkStart w:id="11" w:name="_394016918d89d756d0683dfe373b3e2a9d20276"/>
      <w:r>
        <w:t xml:space="preserve">Variables: ACV, Customer Count, Churn</w:t>
      </w:r>
    </w:p>
    <w:p>
      <w:pPr>
        <w:pStyle w:val="FirstParagraph"/>
      </w:pPr>
      <w:r>
        <w:rPr>
          <w:b/>
          <w:bCs/>
        </w:rPr>
        <w:t xml:space="preserve">Base Case:</w:t>
      </w:r>
      <w:r>
        <w:t xml:space="preserve"> </w:t>
      </w:r>
      <w:r>
        <w:t xml:space="preserve">Y5 Revenue = 77,000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Scenario</w:t>
            </w:r>
          </w:p>
        </w:tc>
        <w:tc>
          <w:tcPr/>
          <w:p>
            <w:pPr>
              <w:pStyle w:val="Compact"/>
            </w:pPr>
            <w:r>
              <w:t xml:space="preserve">ACV Change</w:t>
            </w:r>
          </w:p>
        </w:tc>
        <w:tc>
          <w:tcPr/>
          <w:p>
            <w:pPr>
              <w:pStyle w:val="Compact"/>
            </w:pPr>
            <w:r>
              <w:t xml:space="preserve">Cust. Change</w:t>
            </w:r>
          </w:p>
        </w:tc>
        <w:tc>
          <w:tcPr/>
          <w:p>
            <w:pPr>
              <w:pStyle w:val="Compact"/>
            </w:pPr>
            <w:r>
              <w:t xml:space="preserve">Y5 Revenue</w:t>
            </w:r>
          </w:p>
        </w:tc>
        <w:tc>
          <w:tcPr/>
          <w:p>
            <w:pPr>
              <w:pStyle w:val="Compact"/>
            </w:pPr>
            <w:r>
              <w:t xml:space="preserve">Δ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Base</w:t>
            </w:r>
          </w:p>
        </w:tc>
        <w:tc>
          <w:tcPr/>
          <w:p>
            <w:pPr>
              <w:pStyle w:val="Compact"/>
            </w:pPr>
            <w:r>
              <w:t xml:space="preserve">0%</w:t>
            </w:r>
          </w:p>
        </w:tc>
        <w:tc>
          <w:tcPr/>
          <w:p>
            <w:pPr>
              <w:pStyle w:val="Compact"/>
            </w:pPr>
            <w:r>
              <w:t xml:space="preserve">0%</w:t>
            </w:r>
          </w:p>
        </w:tc>
        <w:tc>
          <w:tcPr/>
          <w:p>
            <w:pPr>
              <w:pStyle w:val="Compact"/>
            </w:pPr>
            <w:r>
              <w:t xml:space="preserve">77,000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t xml:space="preserve">ACV Down 20%</w:t>
            </w:r>
          </w:p>
        </w:tc>
        <w:tc>
          <w:tcPr/>
          <w:p>
            <w:pPr>
              <w:pStyle w:val="Compact"/>
            </w:pPr>
            <w:r>
              <w:t xml:space="preserve">-20%</w:t>
            </w:r>
          </w:p>
        </w:tc>
        <w:tc>
          <w:tcPr/>
          <w:p>
            <w:pPr>
              <w:pStyle w:val="Compact"/>
            </w:pPr>
            <w:r>
              <w:t xml:space="preserve">0%</w:t>
            </w:r>
          </w:p>
        </w:tc>
        <w:tc>
          <w:tcPr/>
          <w:p>
            <w:pPr>
              <w:pStyle w:val="Compact"/>
            </w:pPr>
            <w:r>
              <w:t xml:space="preserve">61,600</w:t>
            </w:r>
          </w:p>
        </w:tc>
        <w:tc>
          <w:tcPr/>
          <w:p>
            <w:pPr>
              <w:pStyle w:val="Compact"/>
            </w:pPr>
            <w:r>
              <w:t xml:space="preserve">-20%</w:t>
            </w:r>
          </w:p>
        </w:tc>
      </w:tr>
      <w:tr>
        <w:tc>
          <w:tcPr/>
          <w:p>
            <w:pPr>
              <w:pStyle w:val="Compact"/>
            </w:pPr>
            <w:r>
              <w:t xml:space="preserve">ACV Up 20%</w:t>
            </w:r>
          </w:p>
        </w:tc>
        <w:tc>
          <w:tcPr/>
          <w:p>
            <w:pPr>
              <w:pStyle w:val="Compact"/>
            </w:pPr>
            <w:r>
              <w:t xml:space="preserve">+20%</w:t>
            </w:r>
          </w:p>
        </w:tc>
        <w:tc>
          <w:tcPr/>
          <w:p>
            <w:pPr>
              <w:pStyle w:val="Compact"/>
            </w:pPr>
            <w:r>
              <w:t xml:space="preserve">0%</w:t>
            </w:r>
          </w:p>
        </w:tc>
        <w:tc>
          <w:tcPr/>
          <w:p>
            <w:pPr>
              <w:pStyle w:val="Compact"/>
            </w:pPr>
            <w:r>
              <w:t xml:space="preserve">92,400</w:t>
            </w:r>
          </w:p>
        </w:tc>
        <w:tc>
          <w:tcPr/>
          <w:p>
            <w:pPr>
              <w:pStyle w:val="Compact"/>
            </w:pPr>
            <w:r>
              <w:t xml:space="preserve">+20%</w:t>
            </w:r>
          </w:p>
        </w:tc>
      </w:tr>
      <w:tr>
        <w:tc>
          <w:tcPr/>
          <w:p>
            <w:pPr>
              <w:pStyle w:val="Compact"/>
            </w:pPr>
            <w:r>
              <w:t xml:space="preserve">Cust. Down 20%</w:t>
            </w:r>
          </w:p>
        </w:tc>
        <w:tc>
          <w:tcPr/>
          <w:p>
            <w:pPr>
              <w:pStyle w:val="Compact"/>
            </w:pPr>
            <w:r>
              <w:t xml:space="preserve">0%</w:t>
            </w:r>
          </w:p>
        </w:tc>
        <w:tc>
          <w:tcPr/>
          <w:p>
            <w:pPr>
              <w:pStyle w:val="Compact"/>
            </w:pPr>
            <w:r>
              <w:t xml:space="preserve">-20%</w:t>
            </w:r>
          </w:p>
        </w:tc>
        <w:tc>
          <w:tcPr/>
          <w:p>
            <w:pPr>
              <w:pStyle w:val="Compact"/>
            </w:pPr>
            <w:r>
              <w:t xml:space="preserve">61,600</w:t>
            </w:r>
          </w:p>
        </w:tc>
        <w:tc>
          <w:tcPr/>
          <w:p>
            <w:pPr>
              <w:pStyle w:val="Compact"/>
            </w:pPr>
            <w:r>
              <w:t xml:space="preserve">-20%</w:t>
            </w:r>
          </w:p>
        </w:tc>
      </w:tr>
      <w:tr>
        <w:tc>
          <w:tcPr/>
          <w:p>
            <w:pPr>
              <w:pStyle w:val="Compact"/>
            </w:pPr>
            <w:r>
              <w:t xml:space="preserve">Cust. Up 20%</w:t>
            </w:r>
          </w:p>
        </w:tc>
        <w:tc>
          <w:tcPr/>
          <w:p>
            <w:pPr>
              <w:pStyle w:val="Compact"/>
            </w:pPr>
            <w:r>
              <w:t xml:space="preserve">0%</w:t>
            </w:r>
          </w:p>
        </w:tc>
        <w:tc>
          <w:tcPr/>
          <w:p>
            <w:pPr>
              <w:pStyle w:val="Compact"/>
            </w:pPr>
            <w:r>
              <w:t xml:space="preserve">+20%</w:t>
            </w:r>
          </w:p>
        </w:tc>
        <w:tc>
          <w:tcPr/>
          <w:p>
            <w:pPr>
              <w:pStyle w:val="Compact"/>
            </w:pPr>
            <w:r>
              <w:t xml:space="preserve">92,400</w:t>
            </w:r>
          </w:p>
        </w:tc>
        <w:tc>
          <w:tcPr/>
          <w:p>
            <w:pPr>
              <w:pStyle w:val="Compact"/>
            </w:pPr>
            <w:r>
              <w:t xml:space="preserve">+20%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Combined Down</w:t>
            </w:r>
          </w:p>
        </w:tc>
        <w:tc>
          <w:tcPr/>
          <w:p>
            <w:pPr>
              <w:pStyle w:val="Compact"/>
            </w:pPr>
            <w:r>
              <w:t xml:space="preserve">-20%</w:t>
            </w:r>
          </w:p>
        </w:tc>
        <w:tc>
          <w:tcPr/>
          <w:p>
            <w:pPr>
              <w:pStyle w:val="Compact"/>
            </w:pPr>
            <w:r>
              <w:t xml:space="preserve">-20%</w:t>
            </w:r>
          </w:p>
        </w:tc>
        <w:tc>
          <w:tcPr/>
          <w:p>
            <w:pPr>
              <w:pStyle w:val="Compact"/>
            </w:pPr>
            <w:r>
              <w:t xml:space="preserve">49,280</w:t>
            </w:r>
          </w:p>
        </w:tc>
        <w:tc>
          <w:tcPr/>
          <w:p>
            <w:pPr>
              <w:pStyle w:val="Compact"/>
            </w:pPr>
            <w:r>
              <w:t xml:space="preserve">-36%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Combined Up</w:t>
            </w:r>
          </w:p>
        </w:tc>
        <w:tc>
          <w:tcPr/>
          <w:p>
            <w:pPr>
              <w:pStyle w:val="Compact"/>
            </w:pPr>
            <w:r>
              <w:t xml:space="preserve">+20%</w:t>
            </w:r>
          </w:p>
        </w:tc>
        <w:tc>
          <w:tcPr/>
          <w:p>
            <w:pPr>
              <w:pStyle w:val="Compact"/>
            </w:pPr>
            <w:r>
              <w:t xml:space="preserve">+20%</w:t>
            </w:r>
          </w:p>
        </w:tc>
        <w:tc>
          <w:tcPr/>
          <w:p>
            <w:pPr>
              <w:pStyle w:val="Compact"/>
            </w:pPr>
            <w:r>
              <w:t xml:space="preserve">110,880</w:t>
            </w:r>
          </w:p>
        </w:tc>
        <w:tc>
          <w:tcPr/>
          <w:p>
            <w:pPr>
              <w:pStyle w:val="Compact"/>
            </w:pPr>
            <w:r>
              <w:t xml:space="preserve">+44%</w:t>
            </w:r>
          </w:p>
        </w:tc>
      </w:tr>
    </w:tbl>
    <w:p>
      <w:pPr>
        <w:pStyle w:val="Heading2"/>
      </w:pPr>
      <w:bookmarkStart w:id="12" w:name="_e63c65ac6924d8360d13b2bb9a43029b4cdbba4"/>
      <w:r>
        <w:t xml:space="preserve">2. EBITDA Sensitivity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Scenario</w:t>
            </w:r>
          </w:p>
        </w:tc>
        <w:tc>
          <w:tcPr/>
          <w:p>
            <w:pPr>
              <w:pStyle w:val="Compact"/>
            </w:pPr>
            <w:r>
              <w:t xml:space="preserve">Y5 Revenue</w:t>
            </w:r>
          </w:p>
        </w:tc>
        <w:tc>
          <w:tcPr/>
          <w:p>
            <w:pPr>
              <w:pStyle w:val="Compact"/>
            </w:pPr>
            <w:r>
              <w:t xml:space="preserve">Y5 OPEX</w:t>
            </w:r>
          </w:p>
        </w:tc>
        <w:tc>
          <w:tcPr/>
          <w:p>
            <w:pPr>
              <w:pStyle w:val="Compact"/>
            </w:pPr>
            <w:r>
              <w:t xml:space="preserve">Y5 EBITDA</w:t>
            </w:r>
          </w:p>
        </w:tc>
        <w:tc>
          <w:tcPr/>
          <w:p>
            <w:pPr>
              <w:pStyle w:val="Compact"/>
            </w:pPr>
            <w:r>
              <w:t xml:space="preserve">Margin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Base</w:t>
            </w:r>
          </w:p>
        </w:tc>
        <w:tc>
          <w:tcPr/>
          <w:p>
            <w:pPr>
              <w:pStyle w:val="Compact"/>
            </w:pPr>
            <w:r>
              <w:t xml:space="preserve">77,000</w:t>
            </w:r>
          </w:p>
        </w:tc>
        <w:tc>
          <w:tcPr/>
          <w:p>
            <w:pPr>
              <w:pStyle w:val="Compact"/>
            </w:pPr>
            <w:r>
              <w:t xml:space="preserve">73,000</w:t>
            </w:r>
          </w:p>
        </w:tc>
        <w:tc>
          <w:tcPr/>
          <w:p>
            <w:pPr>
              <w:pStyle w:val="Compact"/>
            </w:pPr>
            <w:r>
              <w:t xml:space="preserve">4,000</w:t>
            </w:r>
          </w:p>
        </w:tc>
        <w:tc>
          <w:tcPr/>
          <w:p>
            <w:pPr>
              <w:pStyle w:val="Compact"/>
            </w:pPr>
            <w:r>
              <w:t xml:space="preserve">5%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Revenue -20%</w:t>
            </w:r>
          </w:p>
        </w:tc>
        <w:tc>
          <w:tcPr/>
          <w:p>
            <w:pPr>
              <w:pStyle w:val="Compact"/>
            </w:pPr>
            <w:r>
              <w:t xml:space="preserve">61,600</w:t>
            </w:r>
          </w:p>
        </w:tc>
        <w:tc>
          <w:tcPr/>
          <w:p>
            <w:pPr>
              <w:pStyle w:val="Compact"/>
            </w:pPr>
            <w:r>
              <w:t xml:space="preserve">73,000</w:t>
            </w:r>
          </w:p>
        </w:tc>
        <w:tc>
          <w:tcPr/>
          <w:p>
            <w:pPr>
              <w:pStyle w:val="Compact"/>
            </w:pPr>
            <w:r>
              <w:t xml:space="preserve">(11,400)</w:t>
            </w:r>
          </w:p>
        </w:tc>
        <w:tc>
          <w:tcPr/>
          <w:p>
            <w:pPr>
              <w:pStyle w:val="Compact"/>
            </w:pPr>
            <w:r>
              <w:t xml:space="preserve">-19%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Revenue +20%</w:t>
            </w:r>
          </w:p>
        </w:tc>
        <w:tc>
          <w:tcPr/>
          <w:p>
            <w:pPr>
              <w:pStyle w:val="Compact"/>
            </w:pPr>
            <w:r>
              <w:t xml:space="preserve">92,400</w:t>
            </w:r>
          </w:p>
        </w:tc>
        <w:tc>
          <w:tcPr/>
          <w:p>
            <w:pPr>
              <w:pStyle w:val="Compact"/>
            </w:pPr>
            <w:r>
              <w:t xml:space="preserve">73,000</w:t>
            </w:r>
          </w:p>
        </w:tc>
        <w:tc>
          <w:tcPr/>
          <w:p>
            <w:pPr>
              <w:pStyle w:val="Compact"/>
            </w:pPr>
            <w:r>
              <w:t xml:space="preserve">19,400</w:t>
            </w:r>
          </w:p>
        </w:tc>
        <w:tc>
          <w:tcPr/>
          <w:p>
            <w:pPr>
              <w:pStyle w:val="Compact"/>
            </w:pPr>
            <w:r>
              <w:t xml:space="preserve">21%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OPEX +10%</w:t>
            </w:r>
          </w:p>
        </w:tc>
        <w:tc>
          <w:tcPr/>
          <w:p>
            <w:pPr>
              <w:pStyle w:val="Compact"/>
            </w:pPr>
            <w:r>
              <w:t xml:space="preserve">77,000</w:t>
            </w:r>
          </w:p>
        </w:tc>
        <w:tc>
          <w:tcPr/>
          <w:p>
            <w:pPr>
              <w:pStyle w:val="Compact"/>
            </w:pPr>
            <w:r>
              <w:t xml:space="preserve">80,300</w:t>
            </w:r>
          </w:p>
        </w:tc>
        <w:tc>
          <w:tcPr/>
          <w:p>
            <w:pPr>
              <w:pStyle w:val="Compact"/>
            </w:pPr>
            <w:r>
              <w:t xml:space="preserve">(3,300)</w:t>
            </w:r>
          </w:p>
        </w:tc>
        <w:tc>
          <w:tcPr/>
          <w:p>
            <w:pPr>
              <w:pStyle w:val="Compact"/>
            </w:pPr>
            <w:r>
              <w:t xml:space="preserve">-4%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OPEX -10%</w:t>
            </w:r>
          </w:p>
        </w:tc>
        <w:tc>
          <w:tcPr/>
          <w:p>
            <w:pPr>
              <w:pStyle w:val="Compact"/>
            </w:pPr>
            <w:r>
              <w:t xml:space="preserve">77,000</w:t>
            </w:r>
          </w:p>
        </w:tc>
        <w:tc>
          <w:tcPr/>
          <w:p>
            <w:pPr>
              <w:pStyle w:val="Compact"/>
            </w:pPr>
            <w:r>
              <w:t xml:space="preserve">65,700</w:t>
            </w:r>
          </w:p>
        </w:tc>
        <w:tc>
          <w:tcPr/>
          <w:p>
            <w:pPr>
              <w:pStyle w:val="Compact"/>
            </w:pPr>
            <w:r>
              <w:t xml:space="preserve">11,300</w:t>
            </w:r>
          </w:p>
        </w:tc>
        <w:tc>
          <w:tcPr/>
          <w:p>
            <w:pPr>
              <w:pStyle w:val="Compact"/>
            </w:pPr>
            <w:r>
              <w:t xml:space="preserve">15%</w:t>
            </w:r>
          </w:p>
        </w:tc>
      </w:tr>
      <w:tr>
        <w:tc>
          <w:tcPr/>
          <w:p>
            <w:pPr>
              <w:pStyle w:val="Compact"/>
            </w:pPr>
            <w:r>
              <w:t xml:space="preserve">Both Positive</w:t>
            </w:r>
          </w:p>
        </w:tc>
        <w:tc>
          <w:tcPr/>
          <w:p>
            <w:pPr>
              <w:pStyle w:val="Compact"/>
            </w:pPr>
            <w:r>
              <w:t xml:space="preserve">92,400</w:t>
            </w:r>
          </w:p>
        </w:tc>
        <w:tc>
          <w:tcPr/>
          <w:p>
            <w:pPr>
              <w:pStyle w:val="Compact"/>
            </w:pPr>
            <w:r>
              <w:t xml:space="preserve">65,700</w:t>
            </w:r>
          </w:p>
        </w:tc>
        <w:tc>
          <w:tcPr/>
          <w:p>
            <w:pPr>
              <w:pStyle w:val="Compact"/>
            </w:pPr>
            <w:r>
              <w:t xml:space="preserve">26,700</w:t>
            </w:r>
          </w:p>
        </w:tc>
        <w:tc>
          <w:tcPr/>
          <w:p>
            <w:pPr>
              <w:pStyle w:val="Compact"/>
            </w:pPr>
            <w:r>
              <w:t xml:space="preserve">29%</w:t>
            </w:r>
          </w:p>
        </w:tc>
      </w:tr>
      <w:tr>
        <w:tc>
          <w:tcPr/>
          <w:p>
            <w:pPr>
              <w:pStyle w:val="Compact"/>
            </w:pPr>
            <w:r>
              <w:t xml:space="preserve">Both Negative</w:t>
            </w:r>
          </w:p>
        </w:tc>
        <w:tc>
          <w:tcPr/>
          <w:p>
            <w:pPr>
              <w:pStyle w:val="Compact"/>
            </w:pPr>
            <w:r>
              <w:t xml:space="preserve">61,600</w:t>
            </w:r>
          </w:p>
        </w:tc>
        <w:tc>
          <w:tcPr/>
          <w:p>
            <w:pPr>
              <w:pStyle w:val="Compact"/>
            </w:pPr>
            <w:r>
              <w:t xml:space="preserve">80,300</w:t>
            </w:r>
          </w:p>
        </w:tc>
        <w:tc>
          <w:tcPr/>
          <w:p>
            <w:pPr>
              <w:pStyle w:val="Compact"/>
            </w:pPr>
            <w:r>
              <w:t xml:space="preserve">(18,700)</w:t>
            </w:r>
          </w:p>
        </w:tc>
        <w:tc>
          <w:tcPr/>
          <w:p>
            <w:pPr>
              <w:pStyle w:val="Compact"/>
            </w:pPr>
            <w:r>
              <w:t xml:space="preserve">-30%</w:t>
            </w:r>
          </w:p>
        </w:tc>
      </w:tr>
    </w:tbl>
    <w:p>
      <w:pPr>
        <w:pStyle w:val="Heading2"/>
      </w:pPr>
      <w:bookmarkStart w:id="13" w:name="_b84bdad8a5d15f808d32ad29798e752bff2e9c5"/>
      <w:r>
        <w:t xml:space="preserve">3. Break-Even Analysis</w:t>
      </w:r>
    </w:p>
    <w:p>
      <w:pPr>
        <w:pStyle w:val="FirstParagraph"/>
      </w:pPr>
      <w:r>
        <w:rPr>
          <w:b/>
          <w:bCs/>
        </w:rPr>
        <w:t xml:space="preserve">Fixed Costs (Monthly):</w:t>
      </w:r>
      <w:r>
        <w:t xml:space="preserve"> </w:t>
      </w:r>
      <w:r>
        <w:t xml:space="preserve">SAR 650,000</w:t>
      </w:r>
      <w:r>
        <w:t xml:space="preserve"> </w:t>
      </w:r>
      <w:r>
        <w:rPr>
          <w:b/>
          <w:bCs/>
        </w:rPr>
        <w:t xml:space="preserve">Variable Cost per SAR Revenue:</w:t>
      </w:r>
      <w:r>
        <w:t xml:space="preserve"> </w:t>
      </w:r>
      <w:r>
        <w:t xml:space="preserve">22%</w:t>
      </w:r>
      <w:r>
        <w:t xml:space="preserve"> </w:t>
      </w:r>
      <w:r>
        <w:rPr>
          <w:b/>
          <w:bCs/>
        </w:rPr>
        <w:t xml:space="preserve">Contribution Margin:</w:t>
      </w:r>
      <w:r>
        <w:t xml:space="preserve"> </w:t>
      </w:r>
      <w:r>
        <w:t xml:space="preserve">78%</w:t>
      </w:r>
    </w:p>
    <w:p>
      <w:pPr>
        <w:pStyle w:val="BodyText"/>
      </w:pPr>
      <w:r>
        <w:t xml:space="preserve">Break-Even Revenue = Fixed / CM = 650,000 / 0.78 =</w:t>
      </w:r>
      <w:r>
        <w:t xml:space="preserve"> </w:t>
      </w:r>
      <w:r>
        <w:rPr>
          <w:b/>
          <w:bCs/>
        </w:rPr>
        <w:t xml:space="preserve">SAR 833,333/month</w:t>
      </w:r>
      <w:r>
        <w:t xml:space="preserve"> </w:t>
      </w:r>
      <w:r>
        <w:t xml:space="preserve">=</w:t>
      </w:r>
      <w:r>
        <w:t xml:space="preserve"> </w:t>
      </w:r>
      <w:r>
        <w:rPr>
          <w:b/>
          <w:bCs/>
        </w:rPr>
        <w:t xml:space="preserve">SAR 10M/year</w:t>
      </w:r>
    </w:p>
    <w:p>
      <w:pPr>
        <w:pStyle w:val="BodyText"/>
      </w:pPr>
      <w:r>
        <w:rPr>
          <w:b/>
          <w:bCs/>
        </w:rPr>
        <w:t xml:space="preserve">Break-Even Customers (at ACV SAR 1M):</w:t>
      </w:r>
      <w:r>
        <w:t xml:space="preserve"> </w:t>
      </w:r>
      <w:r>
        <w:t xml:space="preserve">10 customers</w:t>
      </w:r>
    </w:p>
    <w:p>
      <w:pPr>
        <w:pStyle w:val="Heading2"/>
      </w:pPr>
      <w:bookmarkStart w:id="14" w:name="_3422a1791e03e90eacbfa9200b6a2f9407ba5d1"/>
      <w:r>
        <w:t xml:space="preserve">4. Cash Runway Sensitivity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Scenario</w:t>
            </w:r>
          </w:p>
        </w:tc>
        <w:tc>
          <w:tcPr/>
          <w:p>
            <w:pPr>
              <w:pStyle w:val="Compact"/>
            </w:pPr>
            <w:r>
              <w:t xml:space="preserve">Monthly Burn</w:t>
            </w:r>
          </w:p>
        </w:tc>
        <w:tc>
          <w:tcPr/>
          <w:p>
            <w:pPr>
              <w:pStyle w:val="Compact"/>
            </w:pPr>
            <w:r>
              <w:t xml:space="preserve">Runway (Seed Only)</w:t>
            </w:r>
          </w:p>
        </w:tc>
        <w:tc>
          <w:tcPr/>
          <w:p>
            <w:pPr>
              <w:pStyle w:val="Compact"/>
            </w:pPr>
            <w:r>
              <w:t xml:space="preserve">Runway (Seed + Series A)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Base</w:t>
            </w:r>
          </w:p>
        </w:tc>
        <w:tc>
          <w:tcPr/>
          <w:p>
            <w:pPr>
              <w:pStyle w:val="Compact"/>
            </w:pPr>
            <w:r>
              <w:t xml:space="preserve">650,000</w:t>
            </w:r>
          </w:p>
        </w:tc>
        <w:tc>
          <w:tcPr/>
          <w:p>
            <w:pPr>
              <w:pStyle w:val="Compact"/>
            </w:pPr>
            <w:r>
              <w:t xml:space="preserve">11.5 months</w:t>
            </w:r>
          </w:p>
        </w:tc>
        <w:tc>
          <w:tcPr/>
          <w:p>
            <w:pPr>
              <w:pStyle w:val="Compact"/>
            </w:pPr>
            <w:r>
              <w:t xml:space="preserve">50 months</w:t>
            </w:r>
          </w:p>
        </w:tc>
      </w:tr>
      <w:tr>
        <w:tc>
          <w:tcPr/>
          <w:p>
            <w:pPr>
              <w:pStyle w:val="Compact"/>
            </w:pPr>
            <w:r>
              <w:t xml:space="preserve">Burn +20%</w:t>
            </w:r>
          </w:p>
        </w:tc>
        <w:tc>
          <w:tcPr/>
          <w:p>
            <w:pPr>
              <w:pStyle w:val="Compact"/>
            </w:pPr>
            <w:r>
              <w:t xml:space="preserve">780,000</w:t>
            </w:r>
          </w:p>
        </w:tc>
        <w:tc>
          <w:tcPr/>
          <w:p>
            <w:pPr>
              <w:pStyle w:val="Compact"/>
            </w:pPr>
            <w:r>
              <w:t xml:space="preserve">9.6 months</w:t>
            </w:r>
          </w:p>
        </w:tc>
        <w:tc>
          <w:tcPr/>
          <w:p>
            <w:pPr>
              <w:pStyle w:val="Compact"/>
            </w:pPr>
            <w:r>
              <w:t xml:space="preserve">42 months</w:t>
            </w:r>
          </w:p>
        </w:tc>
      </w:tr>
      <w:tr>
        <w:tc>
          <w:tcPr/>
          <w:p>
            <w:pPr>
              <w:pStyle w:val="Compact"/>
            </w:pPr>
            <w:r>
              <w:t xml:space="preserve">Burn -20%</w:t>
            </w:r>
          </w:p>
        </w:tc>
        <w:tc>
          <w:tcPr/>
          <w:p>
            <w:pPr>
              <w:pStyle w:val="Compact"/>
            </w:pPr>
            <w:r>
              <w:t xml:space="preserve">520,000</w:t>
            </w:r>
          </w:p>
        </w:tc>
        <w:tc>
          <w:tcPr/>
          <w:p>
            <w:pPr>
              <w:pStyle w:val="Compact"/>
            </w:pPr>
            <w:r>
              <w:t xml:space="preserve">14.4 months</w:t>
            </w:r>
          </w:p>
        </w:tc>
        <w:tc>
          <w:tcPr/>
          <w:p>
            <w:pPr>
              <w:pStyle w:val="Compact"/>
            </w:pPr>
            <w:r>
              <w:t xml:space="preserve">62 months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Revenue +30%</w:t>
            </w:r>
          </w:p>
        </w:tc>
        <w:tc>
          <w:tcPr/>
          <w:p>
            <w:pPr>
              <w:pStyle w:val="Compact"/>
            </w:pPr>
            <w:r>
              <w:t xml:space="preserve">500,000</w:t>
            </w:r>
          </w:p>
        </w:tc>
        <w:tc>
          <w:tcPr/>
          <w:p>
            <w:pPr>
              <w:pStyle w:val="Compact"/>
            </w:pPr>
            <w:r>
              <w:t xml:space="preserve">15 months</w:t>
            </w:r>
          </w:p>
        </w:tc>
        <w:tc>
          <w:tcPr/>
          <w:p>
            <w:pPr>
              <w:pStyle w:val="Compact"/>
            </w:pPr>
            <w:r>
              <w:t xml:space="preserve">65 months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Revenue -30%</w:t>
            </w:r>
          </w:p>
        </w:tc>
        <w:tc>
          <w:tcPr/>
          <w:p>
            <w:pPr>
              <w:pStyle w:val="Compact"/>
            </w:pPr>
            <w:r>
              <w:t xml:space="preserve">800,000</w:t>
            </w:r>
          </w:p>
        </w:tc>
        <w:tc>
          <w:tcPr/>
          <w:p>
            <w:pPr>
              <w:pStyle w:val="Compact"/>
            </w:pPr>
            <w:r>
              <w:t xml:space="preserve">9.4 months</w:t>
            </w:r>
          </w:p>
        </w:tc>
        <w:tc>
          <w:tcPr/>
          <w:p>
            <w:pPr>
              <w:pStyle w:val="Compact"/>
            </w:pPr>
            <w:r>
              <w:t xml:space="preserve">41 months</w:t>
            </w:r>
          </w:p>
        </w:tc>
      </w:tr>
    </w:tbl>
    <w:p>
      <w:pPr>
        <w:pStyle w:val="Heading2"/>
      </w:pPr>
      <w:bookmarkStart w:id="15" w:name="_25d40533513e12a0c26688eb53cebbd9f7327e1"/>
      <w:r>
        <w:t xml:space="preserve">5. Valuation Sensitivity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Method</w:t>
            </w:r>
          </w:p>
        </w:tc>
        <w:tc>
          <w:tcPr/>
          <w:p>
            <w:pPr>
              <w:pStyle w:val="Compact"/>
            </w:pPr>
            <w:r>
              <w:t xml:space="preserve">Bear</w:t>
            </w:r>
          </w:p>
        </w:tc>
        <w:tc>
          <w:tcPr/>
          <w:p>
            <w:pPr>
              <w:pStyle w:val="Compact"/>
            </w:pPr>
            <w:r>
              <w:t xml:space="preserve">Base</w:t>
            </w:r>
          </w:p>
        </w:tc>
        <w:tc>
          <w:tcPr/>
          <w:p>
            <w:pPr>
              <w:pStyle w:val="Compact"/>
            </w:pPr>
            <w:r>
              <w:t xml:space="preserve">Bull</w:t>
            </w:r>
          </w:p>
        </w:tc>
      </w:tr>
      <w:tr>
        <w:tc>
          <w:tcPr/>
          <w:p>
            <w:pPr>
              <w:pStyle w:val="Compact"/>
            </w:pPr>
            <w:r>
              <w:t xml:space="preserve">DCF (WACC 30%/25%/20%)</w:t>
            </w:r>
          </w:p>
        </w:tc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178</w:t>
            </w:r>
          </w:p>
        </w:tc>
        <w:tc>
          <w:tcPr/>
          <w:p>
            <w:pPr>
              <w:pStyle w:val="Compact"/>
            </w:pPr>
            <w:r>
              <w:t xml:space="preserve">245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Comps (5x/8x/12x)</w:t>
            </w:r>
          </w:p>
        </w:tc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195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Precedent (5x/10x/15x)</w:t>
            </w:r>
          </w:p>
        </w:tc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195</w:t>
            </w:r>
          </w:p>
        </w:tc>
      </w:tr>
      <w:tr>
        <w:tc>
          <w:tcPr/>
          <w:p>
            <w:pPr>
              <w:pStyle w:val="Compact"/>
            </w:pPr>
            <w:r>
              <w:t xml:space="preserve">Asset-based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Median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65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130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195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Selected Anchor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30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Heading2"/>
      </w:pPr>
      <w:bookmarkStart w:id="16" w:name="_564ed21811d36d0d14b9a342537763b11cad151"/>
      <w:r>
        <w:t xml:space="preserve">6. Key Sensitivities</w:t>
      </w:r>
    </w:p>
    <w:p>
      <w:pPr>
        <w:pStyle w:val="FirstParagraph"/>
      </w:pPr>
      <w:r>
        <w:rPr>
          <w:b/>
          <w:bCs/>
        </w:rPr>
        <w:t xml:space="preserve">Most Sensitive Variables:</w:t>
      </w:r>
      <w:r>
        <w:t xml:space="preserve"> </w:t>
      </w:r>
      <w:r>
        <w:t xml:space="preserve">1.</w:t>
      </w:r>
      <w:r>
        <w:t xml:space="preserve"> </w:t>
      </w:r>
      <w:r>
        <w:rPr>
          <w:b/>
          <w:bCs/>
        </w:rPr>
        <w:t xml:space="preserve">ACV</w:t>
      </w:r>
      <w:r>
        <w:t xml:space="preserve"> </w:t>
      </w:r>
      <w:r>
        <w:t xml:space="preserve">— ±20% → ±20% revenue</w:t>
      </w:r>
      <w:r>
        <w:t xml:space="preserve"> </w:t>
      </w:r>
      <w:r>
        <w:t xml:space="preserve">2.</w:t>
      </w:r>
      <w:r>
        <w:t xml:space="preserve"> </w:t>
      </w:r>
      <w:r>
        <w:rPr>
          <w:b/>
          <w:bCs/>
        </w:rPr>
        <w:t xml:space="preserve">Customer acquisition rate</w:t>
      </w:r>
      <w:r>
        <w:t xml:space="preserve"> </w:t>
      </w:r>
      <w:r>
        <w:t xml:space="preserve">— ±20% → ±20% revenue</w:t>
      </w:r>
      <w:r>
        <w:t xml:space="preserve"> </w:t>
      </w:r>
      <w:r>
        <w:t xml:space="preserve">3.</w:t>
      </w:r>
      <w:r>
        <w:t xml:space="preserve"> </w:t>
      </w:r>
      <w:r>
        <w:rPr>
          <w:b/>
          <w:bCs/>
        </w:rPr>
        <w:t xml:space="preserve">Sales cycle length</w:t>
      </w:r>
      <w:r>
        <w:t xml:space="preserve"> </w:t>
      </w:r>
      <w:r>
        <w:t xml:space="preserve">— +50% → -30% Y1-Y2 revenue</w:t>
      </w:r>
      <w:r>
        <w:t xml:space="preserve"> </w:t>
      </w:r>
      <w:r>
        <w:t xml:space="preserve">4.</w:t>
      </w:r>
      <w:r>
        <w:t xml:space="preserve"> </w:t>
      </w:r>
      <w:r>
        <w:rPr>
          <w:b/>
          <w:bCs/>
        </w:rPr>
        <w:t xml:space="preserve">Churn</w:t>
      </w:r>
      <w:r>
        <w:t xml:space="preserve"> </w:t>
      </w:r>
      <w:r>
        <w:t xml:space="preserve">— 5% → 10% → -25% Y5 revenue</w:t>
      </w:r>
      <w:r>
        <w:t xml:space="preserve"> </w:t>
      </w:r>
      <w:r>
        <w:t xml:space="preserve">5.</w:t>
      </w:r>
      <w:r>
        <w:t xml:space="preserve"> </w:t>
      </w:r>
      <w:r>
        <w:rPr>
          <w:b/>
          <w:bCs/>
        </w:rPr>
        <w:t xml:space="preserve">Gross margin</w:t>
      </w:r>
      <w:r>
        <w:t xml:space="preserve"> </w:t>
      </w:r>
      <w:r>
        <w:t xml:space="preserve">— 78% → 65% → -17% EBITDA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Sensitivity analysis for scenario planning. Base case is management estimate.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Finance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08 Sensitivity Analysis</dc:title>
  <dc:creator>HISN Platform</dc:creator>
  <cp:keywords>HISN, FCDOS, financial crime, decision operating system</cp:keywords>
  <dcterms:created xsi:type="dcterms:W3CDTF">2026-10-14T09:31:48Z</dcterms:created>
  <dcterms:modified xsi:type="dcterms:W3CDTF">2026-10-14T09:31:48Z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