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09_Scenario_Analysis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7e110eb89a13cb36fa687bb5ce9e3085d608036"/>
      <w:r>
        <w:t xml:space="preserve">SCENARIO ANALYSIS</w:t>
      </w:r>
    </w:p>
    <w:p>
      <w:pPr>
        <w:pStyle w:val="FirstParagraph"/>
      </w:pPr>
      <w:r>
        <w:rPr>
          <w:b/>
          <w:bCs/>
        </w:rPr>
        <w:t xml:space="preserve">Currency:</w:t>
      </w:r>
      <w:r>
        <w:t xml:space="preserve"> </w:t>
      </w:r>
      <w:r>
        <w:t xml:space="preserve">SAR (thousands)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d5a7f89d8be6fb639d94113dbda362b59117ea3"/>
      <w:r>
        <w:t xml:space="preserve">1. Scenario Framework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Probability</w:t>
            </w:r>
          </w:p>
        </w:tc>
        <w:tc>
          <w:tcPr/>
          <w:p>
            <w:pPr>
              <w:pStyle w:val="Compact"/>
            </w:pPr>
            <w:r>
              <w:t xml:space="preserve">Key Assumptions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Bear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Slow enterprise sales, high churn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Management plan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Bull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Fast sales, strong expansion</w:t>
            </w:r>
          </w:p>
        </w:tc>
      </w:tr>
    </w:tbl>
    <w:p>
      <w:pPr>
        <w:pStyle w:val="Heading2"/>
      </w:pPr>
      <w:bookmarkStart w:id="11" w:name="_0097af28fc9dcdb66b14e6675e3082298f3264b"/>
      <w:r>
        <w:t xml:space="preserve">2. Bear Case</w:t>
      </w:r>
    </w:p>
    <w:p>
      <w:pPr>
        <w:pStyle w:val="FirstParagraph"/>
      </w:pPr>
      <w:r>
        <w:rPr>
          <w:b/>
          <w:bCs/>
        </w:rPr>
        <w:t xml:space="preserve">Assumptions:</w:t>
      </w:r>
      <w:r>
        <w:t xml:space="preserve"> </w:t>
      </w:r>
      <w:r>
        <w:t xml:space="preserve">- Sales cycle 18+ months</w:t>
      </w:r>
      <w:r>
        <w:t xml:space="preserve"> </w:t>
      </w:r>
      <w:r>
        <w:t xml:space="preserve">- Win rate 15%</w:t>
      </w:r>
      <w:r>
        <w:t xml:space="preserve"> </w:t>
      </w:r>
      <w:r>
        <w:t xml:space="preserve">- Churn 10%</w:t>
      </w:r>
      <w:r>
        <w:t xml:space="preserve"> </w:t>
      </w:r>
      <w:r>
        <w:t xml:space="preserve">- ACV 20% below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1,700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1,600</w:t>
            </w:r>
          </w:p>
        </w:tc>
        <w:tc>
          <w:tcPr/>
          <w:p>
            <w:pPr>
              <w:pStyle w:val="Compact"/>
            </w:pPr>
            <w:r>
              <w:t xml:space="preserve">5,000</w:t>
            </w:r>
          </w:p>
        </w:tc>
        <w:tc>
          <w:tcPr/>
          <w:p>
            <w:pPr>
              <w:pStyle w:val="Compact"/>
            </w:pPr>
            <w:r>
              <w:t xml:space="preserve">13,000</w:t>
            </w:r>
          </w:p>
        </w:tc>
        <w:tc>
          <w:tcPr/>
          <w:p>
            <w:pPr>
              <w:pStyle w:val="Compact"/>
            </w:pPr>
            <w:r>
              <w:t xml:space="preserve">30,600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  <w:r>
              <w:t xml:space="preserve">(6,000)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(15,000)</w:t>
            </w:r>
          </w:p>
        </w:tc>
        <w:tc>
          <w:tcPr/>
          <w:p>
            <w:pPr>
              <w:pStyle w:val="Compact"/>
            </w:pPr>
            <w:r>
              <w:t xml:space="preserve">(14,000)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Balance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(9,000)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(13,000)</w:t>
            </w:r>
          </w:p>
        </w:tc>
        <w:tc>
          <w:tcPr/>
          <w:p>
            <w:pPr>
              <w:pStyle w:val="Compact"/>
            </w:pPr>
            <w:r>
              <w:t xml:space="preserve">(21,000)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Valuation:</w:t>
      </w:r>
      <w:r>
        <w:t xml:space="preserve"> </w:t>
      </w:r>
      <w:r>
        <w:t xml:space="preserve">SAR 20-25M pre-money</w:t>
      </w:r>
    </w:p>
    <w:p>
      <w:pPr>
        <w:pStyle w:val="Heading2"/>
      </w:pPr>
      <w:bookmarkStart w:id="12" w:name="_3a530ccafb3b872a668a070ce037065ff64604d"/>
      <w:r>
        <w:t xml:space="preserve">3. Base Case</w:t>
      </w:r>
    </w:p>
    <w:p>
      <w:pPr>
        <w:pStyle w:val="FirstParagraph"/>
      </w:pPr>
      <w:r>
        <w:rPr>
          <w:b/>
          <w:bCs/>
        </w:rPr>
        <w:t xml:space="preserve">Assumptions:</w:t>
      </w:r>
      <w:r>
        <w:t xml:space="preserve"> </w:t>
      </w:r>
      <w:r>
        <w:t xml:space="preserve">- Sales cycle 12 months</w:t>
      </w:r>
      <w:r>
        <w:t xml:space="preserve"> </w:t>
      </w:r>
      <w:r>
        <w:t xml:space="preserve">- Win rate 25%</w:t>
      </w:r>
      <w:r>
        <w:t xml:space="preserve"> </w:t>
      </w:r>
      <w:r>
        <w:t xml:space="preserve">- Churn 5%</w:t>
      </w:r>
      <w:r>
        <w:t xml:space="preserve"> </w:t>
      </w:r>
      <w:r>
        <w:t xml:space="preserve">- ACV per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1,700</w:t>
            </w:r>
          </w:p>
        </w:tc>
        <w:tc>
          <w:tcPr/>
          <w:p>
            <w:pPr>
              <w:pStyle w:val="Compact"/>
            </w:pPr>
            <w:r>
              <w:t xml:space="preserve">2,200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13,000</w:t>
            </w:r>
          </w:p>
        </w:tc>
        <w:tc>
          <w:tcPr/>
          <w:p>
            <w:pPr>
              <w:pStyle w:val="Compact"/>
            </w:pPr>
            <w:r>
              <w:t xml:space="preserve">34,000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  <w:r>
              <w:t xml:space="preserve">(5,400)</w:t>
            </w:r>
          </w:p>
        </w:tc>
        <w:tc>
          <w:tcPr/>
          <w:p>
            <w:pPr>
              <w:pStyle w:val="Compact"/>
            </w:pPr>
            <w:r>
              <w:t xml:space="preserve">(8,400)</w:t>
            </w:r>
          </w:p>
        </w:tc>
        <w:tc>
          <w:tcPr/>
          <w:p>
            <w:pPr>
              <w:pStyle w:val="Compact"/>
            </w:pPr>
            <w:r>
              <w:t xml:space="preserve">(10,500)</w:t>
            </w:r>
          </w:p>
        </w:tc>
        <w:tc>
          <w:tcPr/>
          <w:p>
            <w:pPr>
              <w:pStyle w:val="Compact"/>
            </w:pPr>
            <w:r>
              <w:t xml:space="preserve">(8,000)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Balance</w:t>
            </w:r>
          </w:p>
        </w:tc>
        <w:tc>
          <w:tcPr/>
          <w:p>
            <w:pPr>
              <w:pStyle w:val="Compact"/>
            </w:pPr>
            <w:r>
              <w:t xml:space="preserve">2,100</w:t>
            </w:r>
          </w:p>
        </w:tc>
        <w:tc>
          <w:tcPr/>
          <w:p>
            <w:pPr>
              <w:pStyle w:val="Compact"/>
            </w:pPr>
            <w:r>
              <w:t xml:space="preserve">(5,700)</w:t>
            </w:r>
          </w:p>
        </w:tc>
        <w:tc>
          <w:tcPr/>
          <w:p>
            <w:pPr>
              <w:pStyle w:val="Compact"/>
            </w:pPr>
            <w:r>
              <w:t xml:space="preserve">10,500</w:t>
            </w:r>
          </w:p>
        </w:tc>
        <w:tc>
          <w:tcPr/>
          <w:p>
            <w:pPr>
              <w:pStyle w:val="Compact"/>
            </w:pPr>
            <w:r>
              <w:t xml:space="preserve">5,600</w:t>
            </w:r>
          </w:p>
        </w:tc>
        <w:tc>
          <w:tcPr/>
          <w:p>
            <w:pPr>
              <w:pStyle w:val="Compact"/>
            </w:pPr>
            <w:r>
              <w:t xml:space="preserve">13,200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Valuation:</w:t>
      </w:r>
      <w:r>
        <w:t xml:space="preserve"> </w:t>
      </w:r>
      <w:r>
        <w:t xml:space="preserve">SAR 30M pre-money (target)</w:t>
      </w:r>
    </w:p>
    <w:p>
      <w:pPr>
        <w:pStyle w:val="Heading2"/>
      </w:pPr>
      <w:bookmarkStart w:id="13" w:name="_f24223f5110553849ef14bbe82c42c8c98aa7cf"/>
      <w:r>
        <w:t xml:space="preserve">4. Bull Case</w:t>
      </w:r>
    </w:p>
    <w:p>
      <w:pPr>
        <w:pStyle w:val="FirstParagraph"/>
      </w:pPr>
      <w:r>
        <w:rPr>
          <w:b/>
          <w:bCs/>
        </w:rPr>
        <w:t xml:space="preserve">Assumptions:</w:t>
      </w:r>
      <w:r>
        <w:t xml:space="preserve"> </w:t>
      </w:r>
      <w:r>
        <w:t xml:space="preserve">- Sales cycle 9 months</w:t>
      </w:r>
      <w:r>
        <w:t xml:space="preserve"> </w:t>
      </w:r>
      <w:r>
        <w:t xml:space="preserve">- Win rate 35%</w:t>
      </w:r>
      <w:r>
        <w:t xml:space="preserve"> </w:t>
      </w:r>
      <w:r>
        <w:t xml:space="preserve">- Churn 2%</w:t>
      </w:r>
      <w:r>
        <w:t xml:space="preserve"> </w:t>
      </w:r>
      <w:r>
        <w:t xml:space="preserve">- ACV 15% above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850</w:t>
            </w:r>
          </w:p>
        </w:tc>
        <w:tc>
          <w:tcPr/>
          <w:p>
            <w:pPr>
              <w:pStyle w:val="Compact"/>
            </w:pPr>
            <w:r>
              <w:t xml:space="preserve">1,150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1,950</w:t>
            </w:r>
          </w:p>
        </w:tc>
        <w:tc>
          <w:tcPr/>
          <w:p>
            <w:pPr>
              <w:pStyle w:val="Compac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1,700</w:t>
            </w:r>
          </w:p>
        </w:tc>
        <w:tc>
          <w:tcPr/>
          <w:p>
            <w:pPr>
              <w:pStyle w:val="Compact"/>
            </w:pPr>
            <w:r>
              <w:t xml:space="preserve">6,900</w:t>
            </w:r>
          </w:p>
        </w:tc>
        <w:tc>
          <w:tcPr/>
          <w:p>
            <w:pPr>
              <w:pStyle w:val="Compact"/>
            </w:pPr>
            <w:r>
              <w:t xml:space="preserve">22,500</w:t>
            </w:r>
          </w:p>
        </w:tc>
        <w:tc>
          <w:tcPr/>
          <w:p>
            <w:pPr>
              <w:pStyle w:val="Compact"/>
            </w:pPr>
            <w:r>
              <w:t xml:space="preserve">58,500</w:t>
            </w:r>
          </w:p>
        </w:tc>
        <w:tc>
          <w:tcPr/>
          <w:p>
            <w:pPr>
              <w:pStyle w:val="Compact"/>
            </w:pPr>
            <w:r>
              <w:t xml:space="preserve">125,000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</w:t>
            </w:r>
          </w:p>
        </w:tc>
        <w:tc>
          <w:tcPr/>
          <w:p>
            <w:pPr>
              <w:pStyle w:val="Compact"/>
            </w:pPr>
            <w:r>
              <w:t xml:space="preserve">(4,500)</w:t>
            </w:r>
          </w:p>
        </w:tc>
        <w:tc>
          <w:tcPr/>
          <w:p>
            <w:pPr>
              <w:pStyle w:val="Compact"/>
            </w:pPr>
            <w:r>
              <w:t xml:space="preserve">(5,000)</w:t>
            </w:r>
          </w:p>
        </w:tc>
        <w:tc>
          <w:tcPr/>
          <w:p>
            <w:pPr>
              <w:pStyle w:val="Compact"/>
            </w:pPr>
            <w:r>
              <w:t xml:space="preserve">(3,000)</w:t>
            </w:r>
          </w:p>
        </w:tc>
        <w:tc>
          <w:tcPr/>
          <w:p>
            <w:pPr>
              <w:pStyle w:val="Compact"/>
            </w:pPr>
            <w:r>
              <w:t xml:space="preserve">8,000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Balance</w:t>
            </w:r>
          </w:p>
        </w:tc>
        <w:tc>
          <w:tcPr/>
          <w:p>
            <w:pPr>
              <w:pStyle w:val="Compact"/>
            </w:pPr>
            <w:r>
              <w:t xml:space="preserve">3,000</w:t>
            </w:r>
          </w:p>
        </w:tc>
        <w:tc>
          <w:tcPr/>
          <w:p>
            <w:pPr>
              <w:pStyle w:val="Compact"/>
            </w:pPr>
            <w:r>
              <w:t xml:space="preserve">(2,000)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  <w:tc>
          <w:tcPr/>
          <w:p>
            <w:pPr>
              <w:pStyle w:val="Compact"/>
            </w:pPr>
            <w:r>
              <w:t xml:space="preserve">28,000</w:t>
            </w:r>
          </w:p>
        </w:tc>
        <w:tc>
          <w:tcPr/>
          <w:p>
            <w:pPr>
              <w:pStyle w:val="Compact"/>
            </w:pPr>
            <w:r>
              <w:t xml:space="preserve">53,000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Valuation:</w:t>
      </w:r>
      <w:r>
        <w:t xml:space="preserve"> </w:t>
      </w:r>
      <w:r>
        <w:t xml:space="preserve">SAR 40-50M pre-money</w:t>
      </w:r>
    </w:p>
    <w:p>
      <w:pPr>
        <w:pStyle w:val="Heading2"/>
      </w:pPr>
      <w:bookmarkStart w:id="14" w:name="_80a018c9e9562fcd54dd08be2089d9bb27f0bd5"/>
      <w:r>
        <w:t xml:space="preserve">5. Probability-Weighted Valuation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Prob</w:t>
            </w:r>
          </w:p>
        </w:tc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Weighted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Bear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22.5M</w:t>
            </w:r>
          </w:p>
        </w:tc>
        <w:tc>
          <w:tcPr/>
          <w:p>
            <w:pPr>
              <w:pStyle w:val="Compact"/>
            </w:pPr>
            <w:r>
              <w:t xml:space="preserve">5.6M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t xml:space="preserve">30M</w:t>
            </w:r>
          </w:p>
        </w:tc>
        <w:tc>
          <w:tcPr/>
          <w:p>
            <w:pPr>
              <w:pStyle w:val="Compact"/>
            </w:pPr>
            <w:r>
              <w:t xml:space="preserve">15.0M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Bull</w:t>
            </w:r>
          </w:p>
        </w:tc>
        <w:tc>
          <w:tcPr/>
          <w:p>
            <w:pPr>
              <w:pStyle w:val="Compact"/>
            </w:pPr>
            <w:r>
              <w:t xml:space="preserve">25%</w:t>
            </w:r>
          </w:p>
        </w:tc>
        <w:tc>
          <w:tcPr/>
          <w:p>
            <w:pPr>
              <w:pStyle w:val="Compact"/>
            </w:pPr>
            <w:r>
              <w:t xml:space="preserve">45M</w:t>
            </w:r>
          </w:p>
        </w:tc>
        <w:tc>
          <w:tcPr/>
          <w:p>
            <w:pPr>
              <w:pStyle w:val="Compact"/>
            </w:pPr>
            <w:r>
              <w:t xml:space="preserve">11.3M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Expected Value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31.9M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Conclusion:</w:t>
      </w:r>
      <w:r>
        <w:t xml:space="preserve"> </w:t>
      </w:r>
      <w:r>
        <w:t xml:space="preserve">Target SAR 30M is at the probability-weighted expected value.</w:t>
      </w:r>
    </w:p>
    <w:p>
      <w:pPr>
        <w:pStyle w:val="Heading2"/>
      </w:pPr>
      <w:bookmarkStart w:id="15" w:name="_ee322b397da2499efaa9ff50afd8d8ad9a95163"/>
      <w:r>
        <w:t xml:space="preserve">6. Scenario Triggers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Tier-1 bank pilot signed</w:t>
            </w:r>
          </w:p>
        </w:tc>
        <w:tc>
          <w:tcPr/>
          <w:p>
            <w:pPr>
              <w:pStyle w:val="Compact"/>
            </w:pPr>
            <w:r>
              <w:t xml:space="preserve">Shift to Bull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2+ paid pilots by Y2</w:t>
            </w:r>
          </w:p>
        </w:tc>
        <w:tc>
          <w:tcPr/>
          <w:p>
            <w:pPr>
              <w:pStyle w:val="Compact"/>
            </w:pPr>
            <w:r>
              <w:t xml:space="preserve">Confirm 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pilot by Y2 end</w:t>
            </w:r>
          </w:p>
        </w:tc>
        <w:tc>
          <w:tcPr/>
          <w:p>
            <w:pPr>
              <w:pStyle w:val="Compact"/>
            </w:pPr>
            <w:r>
              <w:t xml:space="preserve">Shift to Bear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Competitor price war</w:t>
            </w:r>
          </w:p>
        </w:tc>
        <w:tc>
          <w:tcPr/>
          <w:p>
            <w:pPr>
              <w:pStyle w:val="Compact"/>
            </w:pPr>
            <w:r>
              <w:t xml:space="preserve">Shift to Bear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partnership signed</w:t>
            </w:r>
          </w:p>
        </w:tc>
        <w:tc>
          <w:tcPr/>
          <w:p>
            <w:pPr>
              <w:pStyle w:val="Compact"/>
            </w:pPr>
            <w:r>
              <w:t xml:space="preserve">Shift to Bull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Scenario analysis informs decision-making. Not a forecast commitment.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 Scenario Analysis</dc:title>
  <dc:creator>HISN Platform</dc:creator>
  <cp:keywords>HISN, FCDOS, financial crime, decision operating system</cp:keywords>
  <dcterms:created xsi:type="dcterms:W3CDTF">2026-10-14T09:31:48Z</dcterms:created>
  <dcterms:modified xsi:type="dcterms:W3CDTF">2026-10-14T09:31:48Z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