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10_Unit_Economics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76e3b602effe1872da9b75613c8ea77a97135b6"/>
      <w:r>
        <w:t xml:space="preserve">UNIT ECONOMICS — DEEP DIVE</w:t>
      </w:r>
    </w:p>
    <w:p>
      <w:pPr>
        <w:pStyle w:val="FirstParagraph"/>
      </w:pPr>
      <w:r>
        <w:rPr>
          <w:b/>
          <w:bCs/>
        </w:rPr>
        <w:t xml:space="preserve">Currency:</w:t>
      </w:r>
      <w:r>
        <w:t xml:space="preserve"> </w:t>
      </w:r>
      <w:r>
        <w:t xml:space="preserve">SAR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d5277cd1ae014edeaa8aa8de4f34b1d2eaf881e"/>
      <w:r>
        <w:t xml:space="preserve">1. Customer Acquisition Cost (CAC)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Segment</w:t>
            </w:r>
          </w:p>
        </w:tc>
        <w:tc>
          <w:tcPr/>
          <w:p>
            <w:pPr>
              <w:pStyle w:val="Compact"/>
            </w:pPr>
            <w:r>
              <w:t xml:space="preserve">Sales Cost</w:t>
            </w:r>
          </w:p>
        </w:tc>
        <w:tc>
          <w:tcPr/>
          <w:p>
            <w:pPr>
              <w:pStyle w:val="Compact"/>
            </w:pPr>
            <w:r>
              <w:t xml:space="preserve">Marketing Cost</w:t>
            </w:r>
          </w:p>
        </w:tc>
        <w:tc>
          <w:tcPr/>
          <w:p>
            <w:pPr>
              <w:pStyle w:val="Compact"/>
            </w:pPr>
            <w:r>
              <w:t xml:space="preserve">Total CAC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FinTech</w:t>
            </w:r>
          </w:p>
        </w:tc>
        <w:tc>
          <w:tcPr/>
          <w:p>
            <w:pPr>
              <w:pStyle w:val="Compact"/>
            </w:pPr>
            <w:r>
              <w:t xml:space="preserve">80,000</w:t>
            </w:r>
          </w:p>
        </w:tc>
        <w:tc>
          <w:tcPr/>
          <w:p>
            <w:pPr>
              <w:pStyle w:val="Compact"/>
            </w:pPr>
            <w:r>
              <w:t xml:space="preserve">40,000</w:t>
            </w:r>
          </w:p>
        </w:tc>
        <w:tc>
          <w:tcPr/>
          <w:p>
            <w:pPr>
              <w:pStyle w:val="Compac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PSP</w:t>
            </w:r>
          </w:p>
        </w:tc>
        <w:tc>
          <w:tcPr/>
          <w:p>
            <w:pPr>
              <w:pStyle w:val="Compact"/>
            </w:pPr>
            <w:r>
              <w:t xml:space="preserve">150,000</w:t>
            </w:r>
          </w:p>
        </w:tc>
        <w:tc>
          <w:tcPr/>
          <w:p>
            <w:pPr>
              <w:pStyle w:val="Compact"/>
            </w:pPr>
            <w:r>
              <w:t xml:space="preserve">60,000</w:t>
            </w:r>
          </w:p>
        </w:tc>
        <w:tc>
          <w:tcPr/>
          <w:p>
            <w:pPr>
              <w:pStyle w:val="Compact"/>
            </w:pPr>
            <w:r>
              <w:t xml:space="preserve">210,000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Exchange</w:t>
            </w:r>
          </w:p>
        </w:tc>
        <w:tc>
          <w:tcPr/>
          <w:p>
            <w:pPr>
              <w:pStyle w:val="Compact"/>
            </w:pPr>
            <w:r>
              <w:t xml:space="preserve">200,000</w:t>
            </w:r>
          </w:p>
        </w:tc>
        <w:tc>
          <w:tcPr/>
          <w:p>
            <w:pPr>
              <w:pStyle w:val="Compact"/>
            </w:pPr>
            <w:r>
              <w:t xml:space="preserve">80,000</w:t>
            </w:r>
          </w:p>
        </w:tc>
        <w:tc>
          <w:tcPr/>
          <w:p>
            <w:pPr>
              <w:pStyle w:val="Compact"/>
            </w:pPr>
            <w:r>
              <w:t xml:space="preserve">280,000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</w:t>
            </w:r>
          </w:p>
        </w:tc>
        <w:tc>
          <w:tcPr/>
          <w:p>
            <w:pPr>
              <w:pStyle w:val="Compact"/>
            </w:pPr>
            <w:r>
              <w:t xml:space="preserve">250,000</w:t>
            </w:r>
          </w:p>
        </w:tc>
        <w:tc>
          <w:tcPr/>
          <w:p>
            <w:pPr>
              <w:pStyle w:val="Compact"/>
            </w:pPr>
            <w:r>
              <w:t xml:space="preserve">100,000</w:t>
            </w:r>
          </w:p>
        </w:tc>
        <w:tc>
          <w:tcPr/>
          <w:p>
            <w:pPr>
              <w:pStyle w:val="Compac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Digital Bank</w:t>
            </w:r>
          </w:p>
        </w:tc>
        <w:tc>
          <w:tcPr/>
          <w:p>
            <w:pPr>
              <w:pStyle w:val="Compact"/>
            </w:pPr>
            <w:r>
              <w:t xml:space="preserve">300,000</w:t>
            </w:r>
          </w:p>
        </w:tc>
        <w:tc>
          <w:tcPr/>
          <w:p>
            <w:pPr>
              <w:pStyle w:val="Compact"/>
            </w:pPr>
            <w:r>
              <w:t xml:space="preserve">120,000</w:t>
            </w:r>
          </w:p>
        </w:tc>
        <w:tc>
          <w:tcPr/>
          <w:p>
            <w:pPr>
              <w:pStyle w:val="Compact"/>
            </w:pPr>
            <w:r>
              <w:t xml:space="preserve">420,000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Mid Bank</w:t>
            </w:r>
          </w:p>
        </w:tc>
        <w:tc>
          <w:tcPr/>
          <w:p>
            <w:pPr>
              <w:pStyle w:val="Compact"/>
            </w:pPr>
            <w:r>
              <w:t xml:space="preserve">400,000</w:t>
            </w:r>
          </w:p>
        </w:tc>
        <w:tc>
          <w:tcPr/>
          <w:p>
            <w:pPr>
              <w:pStyle w:val="Compact"/>
            </w:pPr>
            <w:r>
              <w:t xml:space="preserve">150,000</w:t>
            </w:r>
          </w:p>
        </w:tc>
        <w:tc>
          <w:tcPr/>
          <w:p>
            <w:pPr>
              <w:pStyle w:val="Compact"/>
            </w:pPr>
            <w:r>
              <w:t xml:space="preserve">550,000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Tier-1 Bank</w:t>
            </w:r>
          </w:p>
        </w:tc>
        <w:tc>
          <w:tcPr/>
          <w:p>
            <w:pPr>
              <w:pStyle w:val="Compact"/>
            </w:pPr>
            <w:r>
              <w:t xml:space="preserve">600,000</w:t>
            </w:r>
          </w:p>
        </w:tc>
        <w:tc>
          <w:tcPr/>
          <w:p>
            <w:pPr>
              <w:pStyle w:val="Compact"/>
            </w:pPr>
            <w:r>
              <w:t xml:space="preserve">200,000</w:t>
            </w:r>
          </w:p>
        </w:tc>
        <w:tc>
          <w:tcPr/>
          <w:p>
            <w:pPr>
              <w:pStyle w:val="Compact"/>
            </w:pPr>
            <w:r>
              <w:t xml:space="preserve">800,000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Blended CAC (Y1-Y3):</w:t>
      </w:r>
      <w:r>
        <w:t xml:space="preserve"> </w:t>
      </w:r>
      <w:r>
        <w:t xml:space="preserve">SAR 400,000</w:t>
      </w:r>
    </w:p>
    <w:p>
      <w:pPr>
        <w:pStyle w:val="Heading2"/>
      </w:pPr>
      <w:bookmarkStart w:id="11" w:name="_a2405805f98bf7afe0ce838f5abf9b82c3b64ab"/>
      <w:r>
        <w:t xml:space="preserve">2. Lifetime Value (LTV)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Average ACV (Y3)</w:t>
            </w:r>
          </w:p>
        </w:tc>
        <w:tc>
          <w:tcPr/>
          <w:p>
            <w:pPr>
              <w:pStyle w:val="Compact"/>
            </w:pPr>
            <w:r>
              <w:t xml:space="preserve">SAR 1,300,000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Gross Margin</w:t>
            </w:r>
          </w:p>
        </w:tc>
        <w:tc>
          <w:tcPr/>
          <w:p>
            <w:pPr>
              <w:pStyle w:val="Compact"/>
            </w:pPr>
            <w:r>
              <w:t xml:space="preserve">78%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Retention Rate</w:t>
            </w:r>
          </w:p>
        </w:tc>
        <w:tc>
          <w:tcPr/>
          <w:p>
            <w:pPr>
              <w:pStyle w:val="Compact"/>
            </w:pPr>
            <w:r>
              <w:t xml:space="preserve">95%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Average Life</w:t>
            </w:r>
          </w:p>
        </w:tc>
        <w:tc>
          <w:tcPr/>
          <w:p>
            <w:pPr>
              <w:pStyle w:val="Compact"/>
            </w:pPr>
            <w:r>
              <w:t xml:space="preserve">20 years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Discount Rate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LTV (nominal)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SAR 20,280,000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LTV (discounted)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SAR 5,850,000</w:t>
            </w:r>
          </w:p>
        </w:tc>
      </w:tr>
    </w:tbl>
    <w:p>
      <w:pPr>
        <w:pStyle w:val="Heading2"/>
      </w:pPr>
      <w:bookmarkStart w:id="12" w:name="_d9b99dd1a7facf8c1d4bea93ad81938100eaf2d"/>
      <w:r>
        <w:t xml:space="preserve">3. LTV / CAC Ratio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Segment</w:t>
            </w:r>
          </w:p>
        </w:tc>
        <w:tc>
          <w:tcPr/>
          <w:p>
            <w:pPr>
              <w:pStyle w:val="Compact"/>
            </w:pPr>
            <w:r>
              <w:t xml:space="preserve">LTV</w:t>
            </w:r>
          </w:p>
        </w:tc>
        <w:tc>
          <w:tcPr/>
          <w:p>
            <w:pPr>
              <w:pStyle w:val="Compact"/>
            </w:pPr>
            <w:r>
              <w:t xml:space="preserve">CAC</w:t>
            </w:r>
          </w:p>
        </w:tc>
        <w:tc>
          <w:tcPr/>
          <w:p>
            <w:pPr>
              <w:pStyle w:val="Compact"/>
            </w:pPr>
            <w:r>
              <w:t xml:space="preserve">LTV/CAC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FinTech</w:t>
            </w:r>
          </w:p>
        </w:tc>
        <w:tc>
          <w:tcPr/>
          <w:p>
            <w:pPr>
              <w:pStyle w:val="Compact"/>
            </w:pPr>
            <w:r>
              <w:t xml:space="preserve">2,500,000</w:t>
            </w:r>
          </w:p>
        </w:tc>
        <w:tc>
          <w:tcPr/>
          <w:p>
            <w:pPr>
              <w:pStyle w:val="Compact"/>
            </w:pPr>
            <w:r>
              <w:t xml:space="preserve">120,000</w:t>
            </w:r>
          </w:p>
        </w:tc>
        <w:tc>
          <w:tcPr/>
          <w:p>
            <w:pPr>
              <w:pStyle w:val="Compact"/>
            </w:pPr>
            <w:r>
              <w:t xml:space="preserve">20.8x</w:t>
            </w:r>
          </w:p>
        </w:tc>
      </w:tr>
      <w:tr>
        <w:tc>
          <w:tcPr/>
          <w:p>
            <w:pPr>
              <w:pStyle w:val="Compact"/>
            </w:pPr>
            <w:r>
              <w:t xml:space="preserve">PSP</w:t>
            </w:r>
          </w:p>
        </w:tc>
        <w:tc>
          <w:tcPr/>
          <w:p>
            <w:pPr>
              <w:pStyle w:val="Compact"/>
            </w:pPr>
            <w:r>
              <w:t xml:space="preserve">3,200,000</w:t>
            </w:r>
          </w:p>
        </w:tc>
        <w:tc>
          <w:tcPr/>
          <w:p>
            <w:pPr>
              <w:pStyle w:val="Compact"/>
            </w:pPr>
            <w:r>
              <w:t xml:space="preserve">210,000</w:t>
            </w:r>
          </w:p>
        </w:tc>
        <w:tc>
          <w:tcPr/>
          <w:p>
            <w:pPr>
              <w:pStyle w:val="Compact"/>
            </w:pPr>
            <w:r>
              <w:t xml:space="preserve">15.2x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Exchange</w:t>
            </w:r>
          </w:p>
        </w:tc>
        <w:tc>
          <w:tcPr/>
          <w:p>
            <w:pPr>
              <w:pStyle w:val="Compact"/>
            </w:pPr>
            <w:r>
              <w:t xml:space="preserve">3,800,000</w:t>
            </w:r>
          </w:p>
        </w:tc>
        <w:tc>
          <w:tcPr/>
          <w:p>
            <w:pPr>
              <w:pStyle w:val="Compact"/>
            </w:pPr>
            <w:r>
              <w:t xml:space="preserve">280,000</w:t>
            </w:r>
          </w:p>
        </w:tc>
        <w:tc>
          <w:tcPr/>
          <w:p>
            <w:pPr>
              <w:pStyle w:val="Compact"/>
            </w:pPr>
            <w:r>
              <w:t xml:space="preserve">13.6x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</w:t>
            </w:r>
          </w:p>
        </w:tc>
        <w:tc>
          <w:tcPr/>
          <w:p>
            <w:pPr>
              <w:pStyle w:val="Compact"/>
            </w:pPr>
            <w:r>
              <w:t xml:space="preserve">4,500,000</w:t>
            </w:r>
          </w:p>
        </w:tc>
        <w:tc>
          <w:tcPr/>
          <w:p>
            <w:pPr>
              <w:pStyle w:val="Compact"/>
            </w:pPr>
            <w:r>
              <w:t xml:space="preserve">350,000</w:t>
            </w:r>
          </w:p>
        </w:tc>
        <w:tc>
          <w:tcPr/>
          <w:p>
            <w:pPr>
              <w:pStyle w:val="Compact"/>
            </w:pPr>
            <w:r>
              <w:t xml:space="preserve">12.9x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Digital Bank</w:t>
            </w:r>
          </w:p>
        </w:tc>
        <w:tc>
          <w:tcPr/>
          <w:p>
            <w:pPr>
              <w:pStyle w:val="Compact"/>
            </w:pPr>
            <w:r>
              <w:t xml:space="preserve">5,200,000</w:t>
            </w:r>
          </w:p>
        </w:tc>
        <w:tc>
          <w:tcPr/>
          <w:p>
            <w:pPr>
              <w:pStyle w:val="Compact"/>
            </w:pPr>
            <w:r>
              <w:t xml:space="preserve">420,000</w:t>
            </w:r>
          </w:p>
        </w:tc>
        <w:tc>
          <w:tcPr/>
          <w:p>
            <w:pPr>
              <w:pStyle w:val="Compact"/>
            </w:pPr>
            <w:r>
              <w:t xml:space="preserve">12.4x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Mid Bank</w:t>
            </w:r>
          </w:p>
        </w:tc>
        <w:tc>
          <w:tcPr/>
          <w:p>
            <w:pPr>
              <w:pStyle w:val="Compact"/>
            </w:pPr>
            <w:r>
              <w:t xml:space="preserve">6,500,000</w:t>
            </w:r>
          </w:p>
        </w:tc>
        <w:tc>
          <w:tcPr/>
          <w:p>
            <w:pPr>
              <w:pStyle w:val="Compact"/>
            </w:pPr>
            <w:r>
              <w:t xml:space="preserve">550,000</w:t>
            </w:r>
          </w:p>
        </w:tc>
        <w:tc>
          <w:tcPr/>
          <w:p>
            <w:pPr>
              <w:pStyle w:val="Compact"/>
            </w:pPr>
            <w:r>
              <w:t xml:space="preserve">11.8x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Tier-1 Bank</w:t>
            </w:r>
          </w:p>
        </w:tc>
        <w:tc>
          <w:tcPr/>
          <w:p>
            <w:pPr>
              <w:pStyle w:val="Compact"/>
            </w:pPr>
            <w:r>
              <w:t xml:space="preserve">10,000,000</w:t>
            </w:r>
          </w:p>
        </w:tc>
        <w:tc>
          <w:tcPr/>
          <w:p>
            <w:pPr>
              <w:pStyle w:val="Compact"/>
            </w:pPr>
            <w:r>
              <w:t xml:space="preserve">800,000</w:t>
            </w:r>
          </w:p>
        </w:tc>
        <w:tc>
          <w:tcPr/>
          <w:p>
            <w:pPr>
              <w:pStyle w:val="Compact"/>
            </w:pPr>
            <w:r>
              <w:t xml:space="preserve">12.5x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Blended LTV/CAC:</w:t>
      </w:r>
      <w:r>
        <w:t xml:space="preserve"> </w:t>
      </w:r>
      <w:r>
        <w:t xml:space="preserve">~14x (vs SaaS benchmark 3.0x+)</w:t>
      </w:r>
    </w:p>
    <w:p>
      <w:pPr>
        <w:pStyle w:val="Heading2"/>
      </w:pPr>
      <w:bookmarkStart w:id="13" w:name="_395f749ab26e916fc8859a575f11f9675de197c"/>
      <w:r>
        <w:t xml:space="preserve">4. CAC Payback Period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Segment</w:t>
            </w:r>
          </w:p>
        </w:tc>
        <w:tc>
          <w:tcPr/>
          <w:p>
            <w:pPr>
              <w:pStyle w:val="Compact"/>
            </w:pPr>
            <w:r>
              <w:t xml:space="preserve">CAC</w:t>
            </w:r>
          </w:p>
        </w:tc>
        <w:tc>
          <w:tcPr/>
          <w:p>
            <w:pPr>
              <w:pStyle w:val="Compact"/>
            </w:pPr>
            <w:r>
              <w:t xml:space="preserve">Monthly GM</w:t>
            </w:r>
          </w:p>
        </w:tc>
        <w:tc>
          <w:tcPr/>
          <w:p>
            <w:pPr>
              <w:pStyle w:val="Compact"/>
            </w:pPr>
            <w:r>
              <w:t xml:space="preserve">Payback (Months)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FinTech</w:t>
            </w:r>
          </w:p>
        </w:tc>
        <w:tc>
          <w:tcPr/>
          <w:p>
            <w:pPr>
              <w:pStyle w:val="Compact"/>
            </w:pPr>
            <w:r>
              <w:t xml:space="preserve">120,000</w:t>
            </w:r>
          </w:p>
        </w:tc>
        <w:tc>
          <w:tcPr/>
          <w:p>
            <w:pPr>
              <w:pStyle w:val="Compact"/>
            </w:pPr>
            <w:r>
              <w:t xml:space="preserve">84,500</w:t>
            </w:r>
          </w:p>
        </w:tc>
        <w:tc>
          <w:tcPr/>
          <w:p>
            <w:pPr>
              <w:pStyle w:val="Compact"/>
            </w:pPr>
            <w:r>
              <w:t xml:space="preserve">1.4</w:t>
            </w:r>
          </w:p>
        </w:tc>
      </w:tr>
      <w:tr>
        <w:tc>
          <w:tcPr/>
          <w:p>
            <w:pPr>
              <w:pStyle w:val="Compact"/>
            </w:pPr>
            <w:r>
              <w:t xml:space="preserve">PSP</w:t>
            </w:r>
          </w:p>
        </w:tc>
        <w:tc>
          <w:tcPr/>
          <w:p>
            <w:pPr>
              <w:pStyle w:val="Compact"/>
            </w:pPr>
            <w:r>
              <w:t xml:space="preserve">210,000</w:t>
            </w:r>
          </w:p>
        </w:tc>
        <w:tc>
          <w:tcPr/>
          <w:p>
            <w:pPr>
              <w:pStyle w:val="Compact"/>
            </w:pPr>
            <w:r>
              <w:t xml:space="preserve">84,500</w:t>
            </w:r>
          </w:p>
        </w:tc>
        <w:tc>
          <w:tcPr/>
          <w:p>
            <w:pPr>
              <w:pStyle w:val="Compact"/>
            </w:pPr>
            <w:r>
              <w:t xml:space="preserve">2.5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Exchange</w:t>
            </w:r>
          </w:p>
        </w:tc>
        <w:tc>
          <w:tcPr/>
          <w:p>
            <w:pPr>
              <w:pStyle w:val="Compact"/>
            </w:pPr>
            <w:r>
              <w:t xml:space="preserve">280,000</w:t>
            </w:r>
          </w:p>
        </w:tc>
        <w:tc>
          <w:tcPr/>
          <w:p>
            <w:pPr>
              <w:pStyle w:val="Compact"/>
            </w:pPr>
            <w:r>
              <w:t xml:space="preserve">84,500</w:t>
            </w:r>
          </w:p>
        </w:tc>
        <w:tc>
          <w:tcPr/>
          <w:p>
            <w:pPr>
              <w:pStyle w:val="Compact"/>
            </w:pPr>
            <w:r>
              <w:t xml:space="preserve">3.3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</w:t>
            </w:r>
          </w:p>
        </w:tc>
        <w:tc>
          <w:tcPr/>
          <w:p>
            <w:pPr>
              <w:pStyle w:val="Compact"/>
            </w:pPr>
            <w:r>
              <w:t xml:space="preserve">350,000</w:t>
            </w:r>
          </w:p>
        </w:tc>
        <w:tc>
          <w:tcPr/>
          <w:p>
            <w:pPr>
              <w:pStyle w:val="Compact"/>
            </w:pPr>
            <w:r>
              <w:t xml:space="preserve">84,500</w:t>
            </w:r>
          </w:p>
        </w:tc>
        <w:tc>
          <w:tcPr/>
          <w:p>
            <w:pPr>
              <w:pStyle w:val="Compact"/>
            </w:pPr>
            <w:r>
              <w:t xml:space="preserve">4.1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Digital Bank</w:t>
            </w:r>
          </w:p>
        </w:tc>
        <w:tc>
          <w:tcPr/>
          <w:p>
            <w:pPr>
              <w:pStyle w:val="Compact"/>
            </w:pPr>
            <w:r>
              <w:t xml:space="preserve">420,000</w:t>
            </w:r>
          </w:p>
        </w:tc>
        <w:tc>
          <w:tcPr/>
          <w:p>
            <w:pPr>
              <w:pStyle w:val="Compact"/>
            </w:pPr>
            <w:r>
              <w:t xml:space="preserve">84,500</w:t>
            </w:r>
          </w:p>
        </w:tc>
        <w:tc>
          <w:tcPr/>
          <w:p>
            <w:pPr>
              <w:pStyle w:val="Compact"/>
            </w:pPr>
            <w:r>
              <w:t xml:space="preserve">5.0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Mid Bank</w:t>
            </w:r>
          </w:p>
        </w:tc>
        <w:tc>
          <w:tcPr/>
          <w:p>
            <w:pPr>
              <w:pStyle w:val="Compact"/>
            </w:pPr>
            <w:r>
              <w:t xml:space="preserve">550,000</w:t>
            </w:r>
          </w:p>
        </w:tc>
        <w:tc>
          <w:tcPr/>
          <w:p>
            <w:pPr>
              <w:pStyle w:val="Compact"/>
            </w:pPr>
            <w:r>
              <w:t xml:space="preserve">84,500</w:t>
            </w:r>
          </w:p>
        </w:tc>
        <w:tc>
          <w:tcPr/>
          <w:p>
            <w:pPr>
              <w:pStyle w:val="Compact"/>
            </w:pPr>
            <w:r>
              <w:t xml:space="preserve">6.5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Tier-1 Bank</w:t>
            </w:r>
          </w:p>
        </w:tc>
        <w:tc>
          <w:tcPr/>
          <w:p>
            <w:pPr>
              <w:pStyle w:val="Compact"/>
            </w:pPr>
            <w:r>
              <w:t xml:space="preserve">800,000</w:t>
            </w:r>
          </w:p>
        </w:tc>
        <w:tc>
          <w:tcPr/>
          <w:p>
            <w:pPr>
              <w:pStyle w:val="Compact"/>
            </w:pPr>
            <w:r>
              <w:t xml:space="preserve">84,500</w:t>
            </w:r>
          </w:p>
        </w:tc>
        <w:tc>
          <w:tcPr/>
          <w:p>
            <w:pPr>
              <w:pStyle w:val="Compact"/>
            </w:pPr>
            <w:r>
              <w:t xml:space="preserve">9.5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Blended Payback:</w:t>
      </w:r>
      <w:r>
        <w:t xml:space="preserve"> </w:t>
      </w:r>
      <w:r>
        <w:t xml:space="preserve">~4.5 months (vs benchmark &lt;18 months)</w:t>
      </w:r>
    </w:p>
    <w:p>
      <w:pPr>
        <w:pStyle w:val="Heading2"/>
      </w:pPr>
      <w:bookmarkStart w:id="14" w:name="_a7c38fa86843472d893ae1ffe9b060742c2c692"/>
      <w:r>
        <w:t xml:space="preserve">5. Net Revenue Retention (NRR)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Component</w:t>
            </w:r>
          </w:p>
        </w:tc>
        <w:tc>
          <w:tcPr/>
          <w:p>
            <w:pPr>
              <w:pStyle w:val="Compact"/>
            </w:pPr>
            <w:r>
              <w:t xml:space="preserve">Rate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 retention</w:t>
            </w:r>
          </w:p>
        </w:tc>
        <w:tc>
          <w:tcPr/>
          <w:p>
            <w:pPr>
              <w:pStyle w:val="Compact"/>
            </w:pPr>
            <w:r>
              <w:t xml:space="preserve">95%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Module upsell</w:t>
            </w:r>
          </w:p>
        </w:tc>
        <w:tc>
          <w:tcPr/>
          <w:p>
            <w:pPr>
              <w:pStyle w:val="Compact"/>
            </w:pPr>
            <w:r>
              <w:t xml:space="preserve">+10%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Usage expansion</w:t>
            </w:r>
          </w:p>
        </w:tc>
        <w:tc>
          <w:tcPr/>
          <w:p>
            <w:pPr>
              <w:pStyle w:val="Compact"/>
            </w:pPr>
            <w:r>
              <w:t xml:space="preserve">+8%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Price uplift</w:t>
            </w:r>
          </w:p>
        </w:tc>
        <w:tc>
          <w:tcPr/>
          <w:p>
            <w:pPr>
              <w:pStyle w:val="Compact"/>
            </w:pPr>
            <w:r>
              <w:t xml:space="preserve">+4%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NRR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117%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Target:</w:t>
      </w:r>
      <w:r>
        <w:t xml:space="preserve"> </w:t>
      </w:r>
      <w:r>
        <w:t xml:space="preserve">120% by Y4</w:t>
      </w:r>
    </w:p>
    <w:p>
      <w:pPr>
        <w:pStyle w:val="Heading2"/>
      </w:pPr>
      <w:bookmarkStart w:id="15" w:name="_f08f840e865009e1db2de49a9d5ab0556fe86e2"/>
      <w:r>
        <w:t xml:space="preserve">6. Gross Margin Bridge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Component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Cloud costs</w:t>
            </w:r>
          </w:p>
        </w:tc>
        <w:tc>
          <w:tcPr/>
          <w:p>
            <w:pPr>
              <w:pStyle w:val="Compact"/>
            </w:pPr>
            <w:r>
              <w:t xml:space="preserve">-12%</w:t>
            </w:r>
          </w:p>
        </w:tc>
        <w:tc>
          <w:tcPr/>
          <w:p>
            <w:pPr>
              <w:pStyle w:val="Compact"/>
            </w:pPr>
            <w:r>
              <w:t xml:space="preserve">-13%</w:t>
            </w:r>
          </w:p>
        </w:tc>
        <w:tc>
          <w:tcPr/>
          <w:p>
            <w:pPr>
              <w:pStyle w:val="Compact"/>
            </w:pPr>
            <w:r>
              <w:t xml:space="preserve">-13%</w:t>
            </w:r>
          </w:p>
        </w:tc>
        <w:tc>
          <w:tcPr/>
          <w:p>
            <w:pPr>
              <w:pStyle w:val="Compact"/>
            </w:pPr>
            <w:r>
              <w:t xml:space="preserve">-13%</w:t>
            </w:r>
          </w:p>
        </w:tc>
        <w:tc>
          <w:tcPr/>
          <w:p>
            <w:pPr>
              <w:pStyle w:val="Compact"/>
            </w:pPr>
            <w:r>
              <w:t xml:space="preserve">-12%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Support costs</w:t>
            </w:r>
          </w:p>
        </w:tc>
        <w:tc>
          <w:tcPr/>
          <w:p>
            <w:pPr>
              <w:pStyle w:val="Compact"/>
            </w:pPr>
            <w:r>
              <w:t xml:space="preserve">-8%</w:t>
            </w:r>
          </w:p>
        </w:tc>
        <w:tc>
          <w:tcPr/>
          <w:p>
            <w:pPr>
              <w:pStyle w:val="Compact"/>
            </w:pPr>
            <w:r>
              <w:t xml:space="preserve">-9%</w:t>
            </w:r>
          </w:p>
        </w:tc>
        <w:tc>
          <w:tcPr/>
          <w:p>
            <w:pPr>
              <w:pStyle w:val="Compact"/>
            </w:pPr>
            <w:r>
              <w:t xml:space="preserve">-9%</w:t>
            </w:r>
          </w:p>
        </w:tc>
        <w:tc>
          <w:tcPr/>
          <w:p>
            <w:pPr>
              <w:pStyle w:val="Compact"/>
            </w:pPr>
            <w:r>
              <w:t xml:space="preserve">-9%</w:t>
            </w:r>
          </w:p>
        </w:tc>
        <w:tc>
          <w:tcPr/>
          <w:p>
            <w:pPr>
              <w:pStyle w:val="Compact"/>
            </w:pPr>
            <w:r>
              <w:t xml:space="preserve">-10%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Gross Margin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80%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78%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78%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78%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78%</w:t>
            </w:r>
          </w:p>
        </w:tc>
      </w:tr>
    </w:tbl>
    <w:p>
      <w:pPr>
        <w:pStyle w:val="Heading2"/>
      </w:pPr>
      <w:bookmarkStart w:id="16" w:name="_4d69ad14b62fe5512bdcb74bd350fe878d88758"/>
      <w:r>
        <w:t xml:space="preserve">7. Efficiency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Magic Number</w:t>
            </w:r>
          </w:p>
        </w:tc>
        <w:tc>
          <w:tcPr/>
          <w:p>
            <w:pPr>
              <w:pStyle w:val="Compact"/>
            </w:pPr>
            <w:r>
              <w:t xml:space="preserve">0.1</w:t>
            </w:r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w:r>
              <w:t xml:space="preserve">0.8</w:t>
            </w:r>
          </w:p>
        </w:tc>
        <w:tc>
          <w:tcPr/>
          <w:p>
            <w:pPr>
              <w:pStyle w:val="Compac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  <w:r>
              <w:t xml:space="preserve">1.2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Rule of 40</w:t>
            </w:r>
          </w:p>
        </w:tc>
        <w:tc>
          <w:tcPr/>
          <w:p>
            <w:pPr>
              <w:pStyle w:val="Compact"/>
            </w:pPr>
            <w:r>
              <w:t xml:space="preserve">-680%</w:t>
            </w:r>
          </w:p>
        </w:tc>
        <w:tc>
          <w:tcPr/>
          <w:p>
            <w:pPr>
              <w:pStyle w:val="Compact"/>
            </w:pPr>
            <w:r>
              <w:t xml:space="preserve">-160%</w:t>
            </w:r>
          </w:p>
        </w:tc>
        <w:tc>
          <w:tcPr/>
          <w:p>
            <w:pPr>
              <w:pStyle w:val="Compact"/>
            </w:pPr>
            <w:r>
              <w:t xml:space="preserve">-27%</w:t>
            </w:r>
          </w:p>
        </w:tc>
        <w:tc>
          <w:tcPr/>
          <w:p>
            <w:pPr>
              <w:pStyle w:val="Compact"/>
            </w:pPr>
            <w:r>
              <w:t xml:space="preserve">30%</w:t>
            </w:r>
          </w:p>
        </w:tc>
        <w:tc>
          <w:tcPr/>
          <w:p>
            <w:pPr>
              <w:pStyle w:val="Compact"/>
            </w:pPr>
            <w:r>
              <w:t xml:space="preserve">90%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Burn Multiple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5.0x</w:t>
            </w:r>
          </w:p>
        </w:tc>
        <w:tc>
          <w:tcPr/>
          <w:p>
            <w:pPr>
              <w:pStyle w:val="Compact"/>
            </w:pPr>
            <w:r>
              <w:t xml:space="preserve">2.5x</w:t>
            </w:r>
          </w:p>
        </w:tc>
        <w:tc>
          <w:tcPr/>
          <w:p>
            <w:pPr>
              <w:pStyle w:val="Compact"/>
            </w:pPr>
            <w:r>
              <w:t xml:space="preserve">1.5x</w:t>
            </w:r>
          </w:p>
        </w:tc>
        <w:tc>
          <w:tcPr/>
          <w:p>
            <w:pPr>
              <w:pStyle w:val="Compact"/>
            </w:pPr>
            <w:r>
              <w:t xml:space="preserve">0.5x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Unit economics are projected. Actual results depend on execution.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Unit Economics</dc:title>
  <dc:creator>HISN Platform</dc:creator>
  <cp:keywords>HISN, FCDOS, financial crime, decision operating system</cp:keywords>
  <dcterms:created xsi:type="dcterms:W3CDTF">2026-10-14T09:31:48Z</dcterms:created>
  <dcterms:modified xsi:type="dcterms:W3CDTF">2026-10-14T09:31:48Z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