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11_SaaS_Metrics_Dashboard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82bc5b32f349b02f32e0bf64579dc2886eb161b"/>
      <w:r>
        <w:t xml:space="preserve">SaaS METRICS DASHBOARD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3d64818fb9582bcda5a60c55cf4609bd8e2b677"/>
      <w:r>
        <w:t xml:space="preserve">1. Growth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</w:t>
            </w:r>
          </w:p>
        </w:tc>
        <w:tc>
          <w:tcPr/>
          <w:p>
            <w:pPr>
              <w:pStyle w:val="Compact"/>
            </w:pPr>
            <w:r>
              <w:t xml:space="preserve">750</w:t>
            </w:r>
          </w:p>
        </w:tc>
        <w:tc>
          <w:tcPr/>
          <w:p>
            <w:pPr>
              <w:pStyle w:val="Compact"/>
            </w:pPr>
            <w:r>
              <w:t xml:space="preserve">4,000</w:t>
            </w:r>
          </w:p>
        </w:tc>
        <w:tc>
          <w:tcPr/>
          <w:p>
            <w:pPr>
              <w:pStyle w:val="Compact"/>
            </w:pPr>
            <w:r>
              <w:t xml:space="preserve">13,000</w:t>
            </w:r>
          </w:p>
        </w:tc>
        <w:tc>
          <w:tcPr/>
          <w:p>
            <w:pPr>
              <w:pStyle w:val="Compact"/>
            </w:pPr>
            <w:r>
              <w:t xml:space="preserve">34,000</w:t>
            </w:r>
          </w:p>
        </w:tc>
        <w:tc>
          <w:tcPr/>
          <w:p>
            <w:pPr>
              <w:pStyle w:val="Compact"/>
            </w:pPr>
            <w:r>
              <w:t xml:space="preserve">77,000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 Growth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433%</w:t>
            </w:r>
          </w:p>
        </w:tc>
        <w:tc>
          <w:tcPr/>
          <w:p>
            <w:pPr>
              <w:pStyle w:val="Compact"/>
            </w:pPr>
            <w:r>
              <w:t xml:space="preserve">225%</w:t>
            </w:r>
          </w:p>
        </w:tc>
        <w:tc>
          <w:tcPr/>
          <w:p>
            <w:pPr>
              <w:pStyle w:val="Compact"/>
            </w:pPr>
            <w:r>
              <w:t xml:space="preserve">162%</w:t>
            </w:r>
          </w:p>
        </w:tc>
        <w:tc>
          <w:tcPr/>
          <w:p>
            <w:pPr>
              <w:pStyle w:val="Compact"/>
            </w:pPr>
            <w:r>
              <w:t xml:space="preserve">126%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Average ACV</w:t>
            </w:r>
          </w:p>
        </w:tc>
        <w:tc>
          <w:tcPr/>
          <w:p>
            <w:pPr>
              <w:pStyle w:val="Compact"/>
            </w:pPr>
            <w:r>
              <w:t xml:space="preserve">750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1,300</w:t>
            </w:r>
          </w:p>
        </w:tc>
        <w:tc>
          <w:tcPr/>
          <w:p>
            <w:pPr>
              <w:pStyle w:val="Compact"/>
            </w:pPr>
            <w:r>
              <w:t xml:space="preserve">1,700</w:t>
            </w:r>
          </w:p>
        </w:tc>
        <w:tc>
          <w:tcPr/>
          <w:p>
            <w:pPr>
              <w:pStyle w:val="Compact"/>
            </w:pPr>
            <w:r>
              <w:t xml:space="preserve">2,200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 Growth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33%</w:t>
            </w:r>
          </w:p>
        </w:tc>
        <w:tc>
          <w:tcPr/>
          <w:p>
            <w:pPr>
              <w:pStyle w:val="Compact"/>
            </w:pPr>
            <w: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31%</w:t>
            </w:r>
          </w:p>
        </w:tc>
        <w:tc>
          <w:tcPr/>
          <w:p>
            <w:pPr>
              <w:pStyle w:val="Compact"/>
            </w:pPr>
            <w:r>
              <w:t xml:space="preserve">29%</w:t>
            </w:r>
          </w:p>
        </w:tc>
      </w:tr>
    </w:tbl>
    <w:p>
      <w:pPr>
        <w:pStyle w:val="Heading2"/>
      </w:pPr>
      <w:bookmarkStart w:id="11" w:name="_094d1d55e1e20d512d17e6473349c8e91e832e9"/>
      <w:r>
        <w:t xml:space="preserve">2. Retention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Benchmark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Retention</w:t>
            </w:r>
          </w:p>
        </w:tc>
        <w:tc>
          <w:tcPr/>
          <w:p>
            <w:pPr>
              <w:pStyle w:val="Compact"/>
            </w:pPr>
            <w:r>
              <w:t xml:space="preserve">&gt; 95%</w:t>
            </w:r>
          </w:p>
        </w:tc>
        <w:tc>
          <w:tcPr/>
          <w:p>
            <w:pPr>
              <w:pStyle w:val="Compact"/>
            </w:pPr>
            <w:r>
              <w:t xml:space="preserve">90%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 Retention</w:t>
            </w:r>
          </w:p>
        </w:tc>
        <w:tc>
          <w:tcPr/>
          <w:p>
            <w:pPr>
              <w:pStyle w:val="Compact"/>
            </w:pPr>
            <w:r>
              <w:t xml:space="preserve">&gt; 120%</w:t>
            </w:r>
          </w:p>
        </w:tc>
        <w:tc>
          <w:tcPr/>
          <w:p>
            <w:pPr>
              <w:pStyle w:val="Compact"/>
            </w:pPr>
            <w:r>
              <w:t xml:space="preserve">110%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Logo Retention</w:t>
            </w:r>
          </w:p>
        </w:tc>
        <w:tc>
          <w:tcPr/>
          <w:p>
            <w:pPr>
              <w:pStyle w:val="Compact"/>
            </w:pPr>
            <w:r>
              <w:t xml:space="preserve">&gt; 90%</w:t>
            </w:r>
          </w:p>
        </w:tc>
        <w:tc>
          <w:tcPr/>
          <w:p>
            <w:pPr>
              <w:pStyle w:val="Compact"/>
            </w:pPr>
            <w:r>
              <w:t xml:space="preserve">85%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Churn</w:t>
            </w:r>
          </w:p>
        </w:tc>
        <w:tc>
          <w:tcPr/>
          <w:p>
            <w:pPr>
              <w:pStyle w:val="Compact"/>
            </w:pPr>
            <w:r>
              <w:t xml:space="preserve">&lt; 5%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</w:tbl>
    <w:p>
      <w:pPr>
        <w:pStyle w:val="Heading2"/>
      </w:pPr>
      <w:bookmarkStart w:id="12" w:name="_4d69ad14b62fe5512bdcb74bd350fe878d88758"/>
      <w:r>
        <w:t xml:space="preserve">3. Efficiency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Benchmark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CAC Payback</w:t>
            </w:r>
          </w:p>
        </w:tc>
        <w:tc>
          <w:tcPr/>
          <w:p>
            <w:pPr>
              <w:pStyle w:val="Compact"/>
            </w:pPr>
            <w:r>
              <w:t xml:space="preserve">&lt; 18 months</w:t>
            </w:r>
          </w:p>
        </w:tc>
        <w:tc>
          <w:tcPr/>
          <w:p>
            <w:pPr>
              <w:pStyle w:val="Compact"/>
            </w:pPr>
            <w:r>
              <w:t xml:space="preserve">18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LTV/CAC</w:t>
            </w:r>
          </w:p>
        </w:tc>
        <w:tc>
          <w:tcPr/>
          <w:p>
            <w:pPr>
              <w:pStyle w:val="Compact"/>
            </w:pPr>
            <w:r>
              <w:t xml:space="preserve">&gt; 3.0x</w:t>
            </w:r>
          </w:p>
        </w:tc>
        <w:tc>
          <w:tcPr/>
          <w:p>
            <w:pPr>
              <w:pStyle w:val="Compact"/>
            </w:pPr>
            <w:r>
              <w:t xml:space="preserve">3.0x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Magic Number</w:t>
            </w:r>
          </w:p>
        </w:tc>
        <w:tc>
          <w:tcPr/>
          <w:p>
            <w:pPr>
              <w:pStyle w:val="Compact"/>
            </w:pPr>
            <w:r>
              <w:t xml:space="preserve">&gt; 1.0</w:t>
            </w:r>
          </w:p>
        </w:tc>
        <w:tc>
          <w:tcPr/>
          <w:p>
            <w:pPr>
              <w:pStyle w:val="Compact"/>
            </w:pPr>
            <w:r>
              <w:t xml:space="preserve">0.7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Burn Multiple</w:t>
            </w:r>
          </w:p>
        </w:tc>
        <w:tc>
          <w:tcPr/>
          <w:p>
            <w:pPr>
              <w:pStyle w:val="Compact"/>
            </w:pPr>
            <w:r>
              <w:t xml:space="preserve">&lt; 2.0x</w:t>
            </w:r>
          </w:p>
        </w:tc>
        <w:tc>
          <w:tcPr/>
          <w:p>
            <w:pPr>
              <w:pStyle w:val="Compact"/>
            </w:pPr>
            <w:r>
              <w:t xml:space="preserve">2.0x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 of 40</w:t>
            </w:r>
          </w:p>
        </w:tc>
        <w:tc>
          <w:tcPr/>
          <w:p>
            <w:pPr>
              <w:pStyle w:val="Compact"/>
            </w:pPr>
            <w:r>
              <w:t xml:space="preserve">&gt; 40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</w:tbl>
    <w:p>
      <w:pPr>
        <w:pStyle w:val="Heading2"/>
      </w:pPr>
      <w:bookmarkStart w:id="13" w:name="_31f0544b023b991b033711f55df19a7ea6ce60d"/>
      <w:r>
        <w:t xml:space="preserve">4. Profitability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t xml:space="preserve">80%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</w:tr>
      <w:tr>
        <w:tc>
          <w:tcPr/>
          <w:p>
            <w:pPr>
              <w:pStyle w:val="Compact"/>
            </w:pPr>
            <w:r>
              <w:t xml:space="preserve">EBITDA Margin</w:t>
            </w:r>
          </w:p>
        </w:tc>
        <w:tc>
          <w:tcPr/>
          <w:p>
            <w:pPr>
              <w:pStyle w:val="Compact"/>
            </w:pPr>
            <w:r>
              <w:t xml:space="preserve">-720%</w:t>
            </w:r>
          </w:p>
        </w:tc>
        <w:tc>
          <w:tcPr/>
          <w:p>
            <w:pPr>
              <w:pStyle w:val="Compact"/>
            </w:pPr>
            <w:r>
              <w:t xml:space="preserve">-210%</w:t>
            </w:r>
          </w:p>
        </w:tc>
        <w:tc>
          <w:tcPr/>
          <w:p>
            <w:pPr>
              <w:pStyle w:val="Compact"/>
            </w:pPr>
            <w:r>
              <w:t xml:space="preserve">-81%</w:t>
            </w:r>
          </w:p>
        </w:tc>
        <w:tc>
          <w:tcPr/>
          <w:p>
            <w:pPr>
              <w:pStyle w:val="Compact"/>
            </w:pPr>
            <w:r>
              <w:t xml:space="preserve">-24%</w:t>
            </w:r>
          </w:p>
        </w:tc>
        <w:tc>
          <w:tcPr/>
          <w:p>
            <w:pPr>
              <w:pStyle w:val="Compact"/>
            </w:pPr>
            <w:r>
              <w:t xml:space="preserve">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FCF Margin</w:t>
            </w:r>
          </w:p>
        </w:tc>
        <w:tc>
          <w:tcPr/>
          <w:p>
            <w:pPr>
              <w:pStyle w:val="Compact"/>
            </w:pPr>
            <w:r>
              <w:t xml:space="preserve">-680%</w:t>
            </w:r>
          </w:p>
        </w:tc>
        <w:tc>
          <w:tcPr/>
          <w:p>
            <w:pPr>
              <w:pStyle w:val="Compact"/>
            </w:pPr>
            <w:r>
              <w:t xml:space="preserve">-193%</w:t>
            </w:r>
          </w:p>
        </w:tc>
        <w:tc>
          <w:tcPr/>
          <w:p>
            <w:pPr>
              <w:pStyle w:val="Compact"/>
            </w:pPr>
            <w:r>
              <w:t xml:space="preserve">-66%</w:t>
            </w:r>
          </w:p>
        </w:tc>
        <w:tc>
          <w:tcPr/>
          <w:p>
            <w:pPr>
              <w:pStyle w:val="Compact"/>
            </w:pPr>
            <w:r>
              <w:t xml:space="preserve">-14%</w:t>
            </w:r>
          </w:p>
        </w:tc>
        <w:tc>
          <w:tcPr/>
          <w:p>
            <w:pPr>
              <w:pStyle w:val="Compact"/>
            </w:pPr>
            <w:r>
              <w:t xml:space="preserve">10%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 Margin</w:t>
            </w:r>
          </w:p>
        </w:tc>
        <w:tc>
          <w:tcPr/>
          <w:p>
            <w:pPr>
              <w:pStyle w:val="Compact"/>
            </w:pPr>
            <w:r>
              <w:t xml:space="preserve">-720%</w:t>
            </w:r>
          </w:p>
        </w:tc>
        <w:tc>
          <w:tcPr/>
          <w:p>
            <w:pPr>
              <w:pStyle w:val="Compact"/>
            </w:pPr>
            <w:r>
              <w:t xml:space="preserve">-210%</w:t>
            </w:r>
          </w:p>
        </w:tc>
        <w:tc>
          <w:tcPr/>
          <w:p>
            <w:pPr>
              <w:pStyle w:val="Compact"/>
            </w:pPr>
            <w:r>
              <w:t xml:space="preserve">-81%</w:t>
            </w:r>
          </w:p>
        </w:tc>
        <w:tc>
          <w:tcPr/>
          <w:p>
            <w:pPr>
              <w:pStyle w:val="Compact"/>
            </w:pPr>
            <w:r>
              <w:t xml:space="preserve">-24%</w:t>
            </w:r>
          </w:p>
        </w:tc>
        <w:tc>
          <w:tcPr/>
          <w:p>
            <w:pPr>
              <w:pStyle w:val="Compact"/>
            </w:pPr>
            <w:r>
              <w:t xml:space="preserve">3.6%</w:t>
            </w:r>
          </w:p>
        </w:tc>
      </w:tr>
    </w:tbl>
    <w:p>
      <w:pPr>
        <w:pStyle w:val="Heading2"/>
      </w:pPr>
      <w:bookmarkStart w:id="14" w:name="_ddde620f3e3e128eaee7752c70cd7d5bdd840e6"/>
      <w:r>
        <w:t xml:space="preserve">5. Cash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 Balance</w:t>
            </w:r>
          </w:p>
        </w:tc>
        <w:tc>
          <w:tcPr/>
          <w:p>
            <w:pPr>
              <w:pStyle w:val="Compact"/>
            </w:pPr>
            <w:r>
              <w:t xml:space="preserve">2,100</w:t>
            </w:r>
          </w:p>
        </w:tc>
        <w:tc>
          <w:tcPr/>
          <w:p>
            <w:pPr>
              <w:pStyle w:val="Compact"/>
            </w:pPr>
            <w:r>
              <w:t xml:space="preserve">(5,700)</w:t>
            </w:r>
          </w:p>
        </w:tc>
        <w:tc>
          <w:tcPr/>
          <w:p>
            <w:pPr>
              <w:pStyle w:val="Compact"/>
            </w:pPr>
            <w:r>
              <w:t xml:space="preserve">10,500</w:t>
            </w:r>
          </w:p>
        </w:tc>
        <w:tc>
          <w:tcPr/>
          <w:p>
            <w:pPr>
              <w:pStyle w:val="Compact"/>
            </w:pPr>
            <w:r>
              <w:t xml:space="preserve">5,600</w:t>
            </w:r>
          </w:p>
        </w:tc>
        <w:tc>
          <w:tcPr/>
          <w:p>
            <w:pPr>
              <w:pStyle w:val="Compact"/>
            </w:pPr>
            <w:r>
              <w:t xml:space="preserve">13,200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 Burn</w:t>
            </w:r>
          </w:p>
        </w:tc>
        <w:tc>
          <w:tcPr/>
          <w:p>
            <w:pPr>
              <w:pStyle w:val="Compact"/>
            </w:pPr>
            <w:r>
              <w:t xml:space="preserve">400</w:t>
            </w:r>
          </w:p>
        </w:tc>
        <w:tc>
          <w:tcPr/>
          <w:p>
            <w:pPr>
              <w:pStyle w:val="Compact"/>
            </w:pPr>
            <w: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800</w:t>
            </w:r>
          </w:p>
        </w:tc>
        <w:tc>
          <w:tcPr/>
          <w:p>
            <w:pPr>
              <w:pStyle w:val="Compact"/>
            </w:pPr>
            <w:r>
              <w:t xml:space="preserve">700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Runway (months)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</w:tbl>
    <w:p>
      <w:pPr>
        <w:pStyle w:val="Heading2"/>
      </w:pPr>
      <w:bookmarkStart w:id="15" w:name="_5f7a516debb360cf9524ce90c57d58b80a11f80"/>
      <w:r>
        <w:t xml:space="preserve">6. Headcount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 HC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85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Engineering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Sales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G&amp;A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 per Employee</w:t>
            </w:r>
          </w:p>
        </w:tc>
        <w:tc>
          <w:tcPr/>
          <w:p>
            <w:pPr>
              <w:pStyle w:val="Compact"/>
            </w:pPr>
            <w:r>
              <w:t xml:space="preserve">54K</w:t>
            </w:r>
          </w:p>
        </w:tc>
        <w:tc>
          <w:tcPr/>
          <w:p>
            <w:pPr>
              <w:pStyle w:val="Compact"/>
            </w:pPr>
            <w:r>
              <w:t xml:space="preserve">143K</w:t>
            </w:r>
          </w:p>
        </w:tc>
        <w:tc>
          <w:tcPr/>
          <w:p>
            <w:pPr>
              <w:pStyle w:val="Compact"/>
            </w:pPr>
            <w:r>
              <w:t xml:space="preserve">271K</w:t>
            </w:r>
          </w:p>
        </w:tc>
        <w:tc>
          <w:tcPr/>
          <w:p>
            <w:pPr>
              <w:pStyle w:val="Compact"/>
            </w:pPr>
            <w:r>
              <w:t xml:space="preserve">523K</w:t>
            </w:r>
          </w:p>
        </w:tc>
        <w:tc>
          <w:tcPr/>
          <w:p>
            <w:pPr>
              <w:pStyle w:val="Compact"/>
            </w:pPr>
            <w:r>
              <w:t xml:space="preserve">906K</w:t>
            </w:r>
          </w:p>
        </w:tc>
      </w:tr>
    </w:tbl>
    <w:p>
      <w:pPr>
        <w:pStyle w:val="Heading2"/>
      </w:pPr>
      <w:bookmarkStart w:id="16" w:name="_4a285418dcd5b086fabb3cf0a6d970e9e7f1e97"/>
      <w:r>
        <w:t xml:space="preserve">7. Board-Level KPIs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ARR (Y5)</w:t>
            </w:r>
          </w:p>
        </w:tc>
        <w:tc>
          <w:tcPr/>
          <w:p>
            <w:pPr>
              <w:pStyle w:val="Compact"/>
            </w:pPr>
            <w:r>
              <w:t xml:space="preserve">SAR 77M</w:t>
            </w:r>
          </w:p>
        </w:tc>
        <w:tc>
          <w:tcPr/>
          <w:p>
            <w:pPr>
              <w:pStyle w:val="Compact"/>
            </w:pPr>
            <w:r>
              <w:t xml:space="preserve">On 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t xml:space="preserve">78%</w:t>
            </w:r>
          </w:p>
        </w:tc>
        <w:tc>
          <w:tcPr/>
          <w:p>
            <w:pPr>
              <w:pStyle w:val="Compact"/>
            </w:pPr>
            <w:r>
              <w:t xml:space="preserve">Achievable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LTV/CAC</w:t>
            </w:r>
          </w:p>
        </w:tc>
        <w:tc>
          <w:tcPr/>
          <w:p>
            <w:pPr>
              <w:pStyle w:val="Compact"/>
            </w:pPr>
            <w:r>
              <w:t xml:space="preserve">&gt; 10x</w:t>
            </w:r>
          </w:p>
        </w:tc>
        <w:tc>
          <w:tcPr/>
          <w:p>
            <w:pPr>
              <w:pStyle w:val="Compact"/>
            </w:pPr>
            <w:r>
              <w:t xml:space="preserve">Achievable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NRR</w:t>
            </w:r>
          </w:p>
        </w:tc>
        <w:tc>
          <w:tcPr/>
          <w:p>
            <w:pPr>
              <w:pStyle w:val="Compact"/>
            </w:pPr>
            <w:r>
              <w:t xml:space="preserve">&gt; 120%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Churn</w:t>
            </w:r>
          </w:p>
        </w:tc>
        <w:tc>
          <w:tcPr/>
          <w:p>
            <w:pPr>
              <w:pStyle w:val="Compact"/>
            </w:pPr>
            <w:r>
              <w:t xml:space="preserve">&lt; 5%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Cash Efficiency</w:t>
            </w:r>
          </w:p>
        </w:tc>
        <w:tc>
          <w:tcPr/>
          <w:p>
            <w:pPr>
              <w:pStyle w:val="Compact"/>
            </w:pPr>
            <w:r>
              <w:t xml:space="preserve">&gt; 1.0</w:t>
            </w:r>
          </w:p>
        </w:tc>
        <w:tc>
          <w:tcPr/>
          <w:p>
            <w:pPr>
              <w:pStyle w:val="Compact"/>
            </w:pPr>
            <w:r>
              <w:t xml:space="preserve">Y4+</w:t>
            </w:r>
          </w:p>
        </w:tc>
      </w:tr>
    </w:tbl>
    <w:p>
      <w:pPr>
        <w:pStyle w:val="Heading2"/>
      </w:pPr>
      <w:bookmarkStart w:id="17" w:name="_bdb9ce4342d6b3781e3f12af101b9695a9b738c"/>
      <w:r>
        <w:t xml:space="preserve">8. Dashboard Cadence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Weekly:</w:t>
      </w:r>
      <w:r>
        <w:t xml:space="preserve"> </w:t>
      </w:r>
      <w:r>
        <w:t xml:space="preserve">Pipeline, deployments, incidents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Monthly:</w:t>
      </w:r>
      <w:r>
        <w:t xml:space="preserve"> </w:t>
      </w:r>
      <w:r>
        <w:t xml:space="preserve">ARR, cash, burn, KPIs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Quarterly:</w:t>
      </w:r>
      <w:r>
        <w:t xml:space="preserve"> </w:t>
      </w:r>
      <w:r>
        <w:t xml:space="preserve">Board review, OKRs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Annual:</w:t>
      </w:r>
      <w:r>
        <w:t xml:space="preserve"> </w:t>
      </w:r>
      <w:r>
        <w:t xml:space="preserve">Strategy refresh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Metrics aligned with SaaS industry standards.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SaaS Metrics Dashboard</dc:title>
  <dc:creator>HISN Platform</dc:creator>
  <cp:keywords>HISN, FCDOS, financial crime, decision operating system</cp:keywords>
  <dcterms:created xsi:type="dcterms:W3CDTF">2026-10-14T09:31:49Z</dcterms:created>
  <dcterms:modified xsi:type="dcterms:W3CDTF">2026-10-14T09:31:49Z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