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12_Valuation_Summary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2c7bfac47a4122cea204730d37cfbe7af3493c"/>
      <w:r>
        <w:t xml:space="preserve">VALUATION SUMMARY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Currency:</w:t>
      </w:r>
      <w:r>
        <w:t xml:space="preserve"> </w:t>
      </w:r>
      <w:r>
        <w:t xml:space="preserve">SAR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c250c7a5a822d738871bbf7938ee9ae7b480899"/>
      <w:r>
        <w:t xml:space="preserve">1. Valuation Approaches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Range (SAR M)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Replacement Cost</w:t>
            </w:r>
          </w:p>
        </w:tc>
        <w:tc>
          <w:tcPr/>
          <w:p>
            <w:pPr>
              <w:pStyle w:val="Compact"/>
            </w:pPr>
            <w:r>
              <w:t xml:space="preserve">25 – 40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Technology/IP Scorecard</w:t>
            </w:r>
          </w:p>
        </w:tc>
        <w:tc>
          <w:tcPr/>
          <w:p>
            <w:pPr>
              <w:pStyle w:val="Compact"/>
            </w:pPr>
            <w:r>
              <w:t xml:space="preserve">20 – 35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Market/Comparables</w:t>
            </w:r>
          </w:p>
        </w:tc>
        <w:tc>
          <w:tcPr/>
          <w:p>
            <w:pPr>
              <w:pStyle w:val="Compact"/>
            </w:pPr>
            <w:r>
              <w:t xml:space="preserve">40 – 90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DCF</w:t>
            </w:r>
          </w:p>
        </w:tc>
        <w:tc>
          <w:tcPr/>
          <w:p>
            <w:pPr>
              <w:pStyle w:val="Compact"/>
            </w:pPr>
            <w:r>
              <w:t xml:space="preserve">100 – 200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Precedent Transactions</w:t>
            </w:r>
          </w:p>
        </w:tc>
        <w:tc>
          <w:tcPr/>
          <w:p>
            <w:pPr>
              <w:pStyle w:val="Compact"/>
            </w:pPr>
            <w:r>
              <w:t xml:space="preserve">60 – 120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Composite Range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45 – 100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</w:tr>
    </w:tbl>
    <w:p>
      <w:pPr>
        <w:pStyle w:val="Heading2"/>
      </w:pPr>
      <w:bookmarkStart w:id="11" w:name="_0d94e8b90a270e96134b7b9a4d5899fcca967a9"/>
      <w:r>
        <w:t xml:space="preserve">2. Selected Valuation</w:t>
      </w:r>
    </w:p>
    <w:p>
      <w:pPr>
        <w:pStyle w:val="FirstParagraph"/>
      </w:pPr>
      <w:r>
        <w:rPr>
          <w:b/>
          <w:bCs/>
        </w:rPr>
        <w:t xml:space="preserve">Selected Pre-Money:</w:t>
      </w:r>
      <w:r>
        <w:t xml:space="preserve"> </w:t>
      </w:r>
      <w:r>
        <w:rPr>
          <w:b/>
          <w:bCs/>
        </w:rPr>
        <w:t xml:space="preserve">SAR 30,000,000</w:t>
      </w:r>
    </w:p>
    <w:p>
      <w:pPr>
        <w:pStyle w:val="BodyText"/>
      </w:pPr>
      <w:r>
        <w:rPr>
          <w:b/>
          <w:bCs/>
        </w:rPr>
        <w:t xml:space="preserve">Rationale:</w:t>
      </w:r>
      <w:r>
        <w:t xml:space="preserve"> </w:t>
      </w:r>
      <w:r>
        <w:t xml:space="preserve">- Conservative relative to composite</w:t>
      </w:r>
      <w:r>
        <w:t xml:space="preserve"> </w:t>
      </w:r>
      <w:r>
        <w:t xml:space="preserve">- Attractive entry for strategic investors</w:t>
      </w:r>
      <w:r>
        <w:t xml:space="preserve"> </w:t>
      </w:r>
      <w:r>
        <w:t xml:space="preserve">- Defensible against downside scenarios</w:t>
      </w:r>
      <w:r>
        <w:t xml:space="preserve"> </w:t>
      </w:r>
      <w:r>
        <w:t xml:space="preserve">- Signals execution-focused round</w:t>
      </w:r>
      <w:r>
        <w:t xml:space="preserve"> </w:t>
      </w:r>
      <w:r>
        <w:t xml:space="preserve">- Positions for Series A uplift</w:t>
      </w:r>
    </w:p>
    <w:p>
      <w:pPr>
        <w:pStyle w:val="Heading2"/>
      </w:pPr>
      <w:bookmarkStart w:id="12" w:name="_b66a41ad101ff7f17ddcaaba25ff0e5ba2e243d"/>
      <w:r>
        <w:t xml:space="preserve">3. Benchmark Comparison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Reference</w:t>
            </w:r>
          </w:p>
        </w:tc>
        <w:tc>
          <w:tcPr/>
          <w:p>
            <w:pPr>
              <w:pStyle w:val="Compact"/>
            </w:pPr>
            <w:r>
              <w:t xml:space="preserve">Value (SAR 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Replacement cost floor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Selected anchor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benchmark</w:t>
            </w:r>
          </w:p>
        </w:tc>
        <w:tc>
          <w:tcPr/>
          <w:p>
            <w:pPr>
              <w:pStyle w:val="Compact"/>
            </w:pPr>
            <w:r>
              <w:t xml:space="preserve">45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Composite midpoint</w:t>
            </w:r>
          </w:p>
        </w:tc>
        <w:tc>
          <w:tcPr/>
          <w:p>
            <w:pPr>
              <w:pStyle w:val="Compact"/>
            </w:pPr>
            <w:r>
              <w:t xml:space="preserve">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DCF base</w:t>
            </w:r>
          </w:p>
        </w:tc>
        <w:tc>
          <w:tcPr/>
          <w:p>
            <w:pPr>
              <w:pStyle w:val="Compact"/>
            </w:pPr>
            <w:r>
              <w:t xml:space="preserve">178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HISN anchor = 17% of DCF base case — very conservative.</w:t>
      </w:r>
    </w:p>
    <w:p>
      <w:pPr>
        <w:pStyle w:val="Heading2"/>
      </w:pPr>
      <w:bookmarkStart w:id="13" w:name="_4cf2d523096f19cf9fceefd331fc2253952d2bb"/>
      <w:r>
        <w:t xml:space="preserve">4. Round Structure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Investment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ownership</w:t>
            </w:r>
          </w:p>
        </w:tc>
        <w:tc>
          <w:tcPr/>
          <w:p>
            <w:pPr>
              <w:pStyle w:val="Compact"/>
            </w:pPr>
            <w:r>
              <w:t xml:space="preserve">80%</w:t>
            </w:r>
          </w:p>
        </w:tc>
      </w:tr>
    </w:tbl>
    <w:p>
      <w:pPr>
        <w:pStyle w:val="Heading2"/>
      </w:pPr>
      <w:bookmarkStart w:id="14" w:name="_60b0456fd9ab3b3643f9865f6e52cd7379d25a3"/>
      <w:r>
        <w:t xml:space="preserve">5. Valuation Defensibility</w:t>
      </w:r>
    </w:p>
    <w:p>
      <w:pPr>
        <w:pStyle w:val="FirstParagraph"/>
      </w:pPr>
      <w:r>
        <w:rPr>
          <w:b/>
          <w:bCs/>
        </w:rPr>
        <w:t xml:space="preserve">Attractive to investors because:</w:t>
      </w:r>
      <w:r>
        <w:t xml:space="preserve"> </w:t>
      </w:r>
      <w:r>
        <w:t xml:space="preserve">- Strong technical asset (built, not planned)</w:t>
      </w:r>
      <w:r>
        <w:t xml:space="preserve"> </w:t>
      </w:r>
      <w:r>
        <w:t xml:space="preserve">- Multi-domain validation</w:t>
      </w:r>
      <w:r>
        <w:t xml:space="preserve"> </w:t>
      </w:r>
      <w:r>
        <w:t xml:space="preserve">- Saudi-first market positioning</w:t>
      </w:r>
      <w:r>
        <w:t xml:space="preserve"> </w:t>
      </w:r>
      <w:r>
        <w:t xml:space="preserve">- Realistic financial model</w:t>
      </w:r>
      <w:r>
        <w:t xml:space="preserve"> </w:t>
      </w:r>
      <w:r>
        <w:t xml:space="preserve">- Conservative anchor</w:t>
      </w:r>
      <w:r>
        <w:t xml:space="preserve"> </w:t>
      </w:r>
      <w:r>
        <w:t xml:space="preserve">- Structured governance</w:t>
      </w:r>
    </w:p>
    <w:p>
      <w:pPr>
        <w:pStyle w:val="BodyText"/>
      </w:pPr>
      <w:r>
        <w:rPr>
          <w:b/>
          <w:bCs/>
        </w:rPr>
        <w:t xml:space="preserve">Risks disclosed:</w:t>
      </w:r>
      <w:r>
        <w:t xml:space="preserve"> </w:t>
      </w:r>
      <w:r>
        <w:t xml:space="preserve">- Pre-revenue</w:t>
      </w:r>
      <w:r>
        <w:t xml:space="preserve"> </w:t>
      </w:r>
      <w:r>
        <w:t xml:space="preserve">- No customers yet</w:t>
      </w:r>
      <w:r>
        <w:t xml:space="preserve"> </w:t>
      </w:r>
      <w:r>
        <w:t xml:space="preserve">- Pre-commercial proof</w:t>
      </w:r>
      <w:r>
        <w:t xml:space="preserve"> </w:t>
      </w:r>
      <w:r>
        <w:t xml:space="preserve">- Execution dependency</w:t>
      </w:r>
    </w:p>
    <w:p>
      <w:pPr>
        <w:pStyle w:val="Heading2"/>
      </w:pPr>
      <w:bookmarkStart w:id="15" w:name="_e28067a0cfa692c66f265032bdb39beb33ff126"/>
      <w:r>
        <w:t xml:space="preserve">6. Investor Return Scenarios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Exit</w:t>
            </w:r>
          </w:p>
        </w:tc>
        <w:tc>
          <w:tcPr/>
          <w:p>
            <w:pPr>
              <w:pStyle w:val="Compact"/>
            </w:pPr>
            <w:r>
              <w:t xml:space="preserve">Company Value</w:t>
            </w:r>
          </w:p>
        </w:tc>
        <w:tc>
          <w:tcPr/>
          <w:p>
            <w:pPr>
              <w:pStyle w:val="Compact"/>
            </w:pPr>
            <w:r>
              <w:t xml:space="preserve">Investor Return (5 yrs)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</w:t>
            </w:r>
          </w:p>
        </w:tc>
        <w:tc>
          <w:tcPr/>
          <w:p>
            <w:pPr>
              <w:pStyle w:val="Compact"/>
            </w:pPr>
            <w:r>
              <w:t xml:space="preserve">SAR 385M</w:t>
            </w:r>
          </w:p>
        </w:tc>
        <w:tc>
          <w:tcPr/>
          <w:p>
            <w:pPr>
              <w:pStyle w:val="Compact"/>
            </w:pPr>
            <w:r>
              <w:t xml:space="preserve">6.1x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SAR 616M</w:t>
            </w:r>
          </w:p>
        </w:tc>
        <w:tc>
          <w:tcPr/>
          <w:p>
            <w:pPr>
              <w:pStyle w:val="Compact"/>
            </w:pPr>
            <w:r>
              <w:t xml:space="preserve">9.9x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</w:t>
            </w:r>
          </w:p>
        </w:tc>
        <w:tc>
          <w:tcPr/>
          <w:p>
            <w:pPr>
              <w:pStyle w:val="Compact"/>
            </w:pPr>
            <w:r>
              <w:t xml:space="preserve">SAR 800M</w:t>
            </w:r>
          </w:p>
        </w:tc>
        <w:tc>
          <w:tcPr/>
          <w:p>
            <w:pPr>
              <w:pStyle w:val="Compact"/>
            </w:pPr>
            <w:r>
              <w:t xml:space="preserve">12.8x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  <w:r>
              <w:t xml:space="preserve">SAR 1.5B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</w:tr>
    </w:tbl>
    <w:p>
      <w:pPr>
        <w:pStyle w:val="Heading2"/>
      </w:pPr>
      <w:bookmarkStart w:id="16" w:name="_0312067eae11b7c070ffd6c5dfe44dcbe176846"/>
      <w:r>
        <w:t xml:space="preserve">7. Key Value Drivers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Canonical Decision Runtime</w:t>
      </w:r>
      <w:r>
        <w:t xml:space="preserve"> </w:t>
      </w:r>
      <w:r>
        <w:t xml:space="preserve">— architectural moat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Multi-tenant RLS</w:t>
      </w:r>
      <w:r>
        <w:t xml:space="preserve"> </w:t>
      </w:r>
      <w:r>
        <w:t xml:space="preserve">— enterprise-grade security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DNA + Audit</w:t>
      </w:r>
      <w:r>
        <w:t xml:space="preserve"> </w:t>
      </w:r>
      <w:r>
        <w:t xml:space="preserve">— regulatory differentiation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Saudi-first</w:t>
      </w:r>
      <w:r>
        <w:t xml:space="preserve"> </w:t>
      </w:r>
      <w:r>
        <w:t xml:space="preserve">— local market advantage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Multi-domain</w:t>
      </w:r>
      <w:r>
        <w:t xml:space="preserve"> </w:t>
      </w:r>
      <w:r>
        <w:t xml:space="preserve">— bank + insurance + exchange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Governance discipline</w:t>
      </w:r>
      <w:r>
        <w:t xml:space="preserve"> </w:t>
      </w:r>
      <w:r>
        <w:t xml:space="preserve">— institutional standards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Conservative anchor</w:t>
      </w:r>
      <w:r>
        <w:t xml:space="preserve"> </w:t>
      </w:r>
      <w:r>
        <w:t xml:space="preserve">— investor alignment</w:t>
      </w:r>
    </w:p>
    <w:p>
      <w:pPr>
        <w:pStyle w:val="Heading2"/>
      </w:pPr>
      <w:bookmarkStart w:id="17" w:name="_d9349506ba4b914f421c05e5b31911288b9d2ca"/>
      <w:r>
        <w:t xml:space="preserve">8. Valuation Guardrails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Floor:</w:t>
      </w:r>
      <w:r>
        <w:t xml:space="preserve"> </w:t>
      </w:r>
      <w:r>
        <w:t xml:space="preserve">SAR 25M (asset-based)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Target:</w:t>
      </w:r>
      <w:r>
        <w:t xml:space="preserve"> </w:t>
      </w:r>
      <w:r>
        <w:t xml:space="preserve">SAR 30M (selected anchor)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Upside:</w:t>
      </w:r>
      <w:r>
        <w:t xml:space="preserve"> </w:t>
      </w:r>
      <w:r>
        <w:t xml:space="preserve">SAR 45M (with first pilot)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Downside:</w:t>
      </w:r>
      <w:r>
        <w:t xml:space="preserve"> </w:t>
      </w:r>
      <w:r>
        <w:t xml:space="preserve">SAR 22M (bear scenario)</w:t>
      </w:r>
    </w:p>
    <w:p>
      <w:pPr>
        <w:pStyle w:val="Heading2"/>
      </w:pPr>
      <w:bookmarkStart w:id="18" w:name="_00491be5a4f4c84b00f760a51efe5e39bf28408"/>
      <w:r>
        <w:t xml:space="preserve">9. Final Recommendation</w:t>
      </w:r>
    </w:p>
    <w:p>
      <w:pPr>
        <w:pStyle w:val="FirstParagraph"/>
      </w:pPr>
      <w:r>
        <w:rPr>
          <w:b/>
          <w:bCs/>
        </w:rPr>
        <w:t xml:space="preserve">Recommended Position:</w:t>
      </w:r>
      <w:r>
        <w:t xml:space="preserve"> </w:t>
      </w:r>
      <w:r>
        <w:t xml:space="preserve">&gt; HISN is raising SAR 7.5M at SAR 30M pre-money (SAR 37.5M post-money), supported by a triangulated valuation range of SAR 45-100M composite. The selected anchor is intentionally conservative to attract strategic investors who bring execution value.</w:t>
      </w:r>
    </w:p>
    <w:p>
      <w:pPr>
        <w:pStyle w:val="BodyText"/>
      </w:pPr>
      <w:r>
        <w:rPr>
          <w:b/>
          <w:bCs/>
        </w:rPr>
        <w:t xml:space="preserve">Not a Fairness Opinion.</w:t>
      </w:r>
      <w:r>
        <w:t xml:space="preserve"> </w:t>
      </w:r>
      <w:r>
        <w:t xml:space="preserve">This document represents management’s view for negotiation purposes.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Prepared to Big Four institutional standards. Not an audit, fairness opinion, or valuation certificate.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Valuation Summary</dc:title>
  <dc:creator>HISN Platform</dc:creator>
  <cp:keywords>HISN, FCDOS, financial crime, decision operating system</cp:keywords>
  <dcterms:created xsi:type="dcterms:W3CDTF">2026-10-14T09:31:49Z</dcterms:created>
  <dcterms:modified xsi:type="dcterms:W3CDTF">2026-10-14T09:31:49Z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