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FINANCIAL MODEL — ASSUMPTIONS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13 October 2026 |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</w:t>
      </w:r>
    </w:p>
    <w:p>
      <w:pPr>
        <w:pStyle w:val="Heading2"/>
      </w:pPr>
      <w:bookmarkStart w:id="9" w:name="_market"/>
      <w:r>
        <w:t xml:space="preserve">1. Market</w:t>
      </w:r>
    </w:p>
    <w:p>
      <w:pPr>
        <w:pStyle w:val="Compact"/>
        <w:numPr>
          <w:ilvl w:val="0"/>
          <w:numId w:val="1001"/>
        </w:numPr>
      </w:pPr>
      <w:r>
        <w:t xml:space="preserve">KSA FinTech: 371 companies (SAMA Aug 2026)</w:t>
      </w:r>
    </w:p>
    <w:p>
      <w:pPr>
        <w:pStyle w:val="Compact"/>
        <w:numPr>
          <w:ilvl w:val="0"/>
          <w:numId w:val="1001"/>
        </w:numPr>
      </w:pPr>
      <w:r>
        <w:t xml:space="preserve">Cumulative investment: SAR 30B+ (H1 2026)</w:t>
      </w:r>
    </w:p>
    <w:p>
      <w:pPr>
        <w:pStyle w:val="Compact"/>
        <w:numPr>
          <w:ilvl w:val="0"/>
          <w:numId w:val="1001"/>
        </w:numPr>
      </w:pPr>
      <w:r>
        <w:t xml:space="preserve">TAM: SAR 5B | SAM: SAR 500M | SOM: SAR 50M (5y)</w:t>
      </w:r>
    </w:p>
    <w:p>
      <w:pPr>
        <w:pStyle w:val="Heading2"/>
      </w:pPr>
      <w:bookmarkStart w:id="10" w:name="_revenue"/>
      <w:r>
        <w:t xml:space="preserve">2. Revenue</w:t>
      </w:r>
    </w:p>
    <w:p>
      <w:pPr>
        <w:pStyle w:val="Compact"/>
        <w:numPr>
          <w:ilvl w:val="0"/>
          <w:numId w:val="1002"/>
        </w:numPr>
      </w:pPr>
      <w:r>
        <w:t xml:space="preserve">Entry ACV: SAR 500K – 1.5M</w:t>
      </w:r>
    </w:p>
    <w:p>
      <w:pPr>
        <w:pStyle w:val="Compact"/>
        <w:numPr>
          <w:ilvl w:val="0"/>
          <w:numId w:val="1002"/>
        </w:numPr>
      </w:pPr>
      <w:r>
        <w:t xml:space="preserve">Expansion: SAR 2M – 5M</w:t>
      </w:r>
    </w:p>
    <w:p>
      <w:pPr>
        <w:pStyle w:val="Compact"/>
        <w:numPr>
          <w:ilvl w:val="0"/>
          <w:numId w:val="1002"/>
        </w:numPr>
      </w:pPr>
      <w:r>
        <w:t xml:space="preserve">Gross margin: 75%+</w:t>
      </w:r>
    </w:p>
    <w:p>
      <w:pPr>
        <w:pStyle w:val="Heading2"/>
      </w:pPr>
      <w:bookmarkStart w:id="11" w:name="_cost"/>
      <w:r>
        <w:t xml:space="preserve">3. Cost</w:t>
      </w:r>
    </w:p>
    <w:p>
      <w:pPr>
        <w:pStyle w:val="Compact"/>
        <w:numPr>
          <w:ilvl w:val="0"/>
          <w:numId w:val="1003"/>
        </w:numPr>
      </w:pPr>
      <w:r>
        <w:t xml:space="preserve">Engineering: SAR 15K – 30K/month/head</w:t>
      </w:r>
    </w:p>
    <w:p>
      <w:pPr>
        <w:pStyle w:val="Compact"/>
        <w:numPr>
          <w:ilvl w:val="0"/>
          <w:numId w:val="1003"/>
        </w:numPr>
      </w:pPr>
      <w:r>
        <w:t xml:space="preserve">Sales commission: 10-15%</w:t>
      </w:r>
    </w:p>
    <w:p>
      <w:pPr>
        <w:pStyle w:val="Compact"/>
        <w:numPr>
          <w:ilvl w:val="0"/>
          <w:numId w:val="1003"/>
        </w:numPr>
      </w:pPr>
      <w:r>
        <w:t xml:space="preserve">Infra: SAR 20K – 50K/month</w:t>
      </w:r>
    </w:p>
    <w:p>
      <w:pPr>
        <w:pStyle w:val="Heading2"/>
      </w:pPr>
      <w:bookmarkStart w:id="12" w:name="_headcount"/>
      <w:r>
        <w:t xml:space="preserve">4. Headcount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Eng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p>
      <w:pPr>
        <w:pStyle w:val="Heading2"/>
      </w:pPr>
      <w:bookmarkStart w:id="13" w:name="_funding"/>
      <w:r>
        <w:t xml:space="preserve">5. Funding</w:t>
      </w:r>
    </w:p>
    <w:p>
      <w:pPr>
        <w:pStyle w:val="Compact"/>
        <w:numPr>
          <w:ilvl w:val="0"/>
          <w:numId w:val="1004"/>
        </w:numPr>
      </w:pPr>
      <w:r>
        <w:t xml:space="preserve">Current: SAR 7.5M</w:t>
      </w:r>
    </w:p>
    <w:p>
      <w:pPr>
        <w:pStyle w:val="Compact"/>
        <w:numPr>
          <w:ilvl w:val="0"/>
          <w:numId w:val="1004"/>
        </w:numPr>
      </w:pPr>
      <w:r>
        <w:t xml:space="preserve">Runway: 15-18 months</w:t>
      </w:r>
    </w:p>
    <w:p>
      <w:pPr>
        <w:pStyle w:val="Compact"/>
        <w:numPr>
          <w:ilvl w:val="0"/>
          <w:numId w:val="1004"/>
        </w:numPr>
      </w:pPr>
      <w:r>
        <w:t xml:space="preserve">Next: Series 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Model Assumptions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