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FIVE-YEAR PROJECTIONS (SAR 000s)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  <w:tc>
          <w:tcPr/>
          <w:p>
            <w:pPr>
              <w:pStyle w:val="Compact"/>
            </w:pPr>
            <w:r>
              <w:t xml:space="preserve">Y4</w:t>
            </w:r>
          </w:p>
        </w:tc>
        <w:tc>
          <w:tcPr/>
          <w:p>
            <w:pPr>
              <w:pStyle w:val="Compact"/>
            </w:pPr>
            <w:r>
              <w:t xml:space="preserve">Y5</w:t>
            </w:r>
          </w:p>
        </w:tc>
      </w:tr>
      <w:tr>
        <w:tc>
          <w:tcPr/>
          <w:p>
            <w:pPr>
              <w:pStyle w:val="Compact"/>
            </w:pPr>
            <w:r>
              <w:t xml:space="preserve">Customers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ACV</w:t>
            </w:r>
          </w:p>
        </w:tc>
        <w:tc>
          <w:tcPr/>
          <w:p>
            <w:pPr>
              <w:pStyle w:val="Compact"/>
            </w:pPr>
            <w:r>
              <w:t xml:space="preserve">750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  <w:tc>
          <w:tcPr/>
          <w:p>
            <w:pPr>
              <w:pStyle w:val="Compact"/>
            </w:pPr>
            <w:r>
              <w:t xml:space="preserve">1,300</w:t>
            </w:r>
          </w:p>
        </w:tc>
        <w:tc>
          <w:tcPr/>
          <w:p>
            <w:pPr>
              <w:pStyle w:val="Compact"/>
            </w:pPr>
            <w:r>
              <w:t xml:space="preserve">1,700</w:t>
            </w:r>
          </w:p>
        </w:tc>
        <w:tc>
          <w:tcPr/>
          <w:p>
            <w:pPr>
              <w:pStyle w:val="Compact"/>
            </w:pPr>
            <w:r>
              <w:t xml:space="preserve">2,200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Revenue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750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34,000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77,000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Gross Profit</w:t>
            </w:r>
          </w:p>
        </w:tc>
        <w:tc>
          <w:tcPr/>
          <w:p>
            <w:pPr>
              <w:pStyle w:val="Compact"/>
            </w:pPr>
            <w: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3,100</w:t>
            </w:r>
          </w:p>
        </w:tc>
        <w:tc>
          <w:tcPr/>
          <w:p>
            <w:pPr>
              <w:pStyle w:val="Compact"/>
            </w:pPr>
            <w:r>
              <w:t xml:space="preserve">10,000</w:t>
            </w:r>
          </w:p>
        </w:tc>
        <w:tc>
          <w:tcPr/>
          <w:p>
            <w:pPr>
              <w:pStyle w:val="Compact"/>
            </w:pPr>
            <w:r>
              <w:t xml:space="preserve">26,000</w:t>
            </w:r>
          </w:p>
        </w:tc>
        <w:tc>
          <w:tcPr/>
          <w:p>
            <w:pPr>
              <w:pStyle w:val="Compact"/>
            </w:pPr>
            <w:r>
              <w:t xml:space="preserve">59,000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R&amp;D</w:t>
            </w:r>
          </w:p>
        </w:tc>
        <w:tc>
          <w:tcPr/>
          <w:p>
            <w:pPr>
              <w:pStyle w:val="Compact"/>
            </w:pPr>
            <w:r>
              <w:t xml:space="preserve">3,500</w:t>
            </w:r>
          </w:p>
        </w:tc>
        <w:tc>
          <w:tcPr/>
          <w:p>
            <w:pPr>
              <w:pStyle w:val="Compact"/>
            </w:pPr>
            <w:r>
              <w:t xml:space="preserve">6,000</w:t>
            </w:r>
          </w:p>
        </w:tc>
        <w:tc>
          <w:tcPr/>
          <w:p>
            <w:pPr>
              <w:pStyle w:val="Compact"/>
            </w:pPr>
            <w:r>
              <w:t xml:space="preserve">10,000</w:t>
            </w:r>
          </w:p>
        </w:tc>
        <w:tc>
          <w:tcPr/>
          <w:p>
            <w:pPr>
              <w:pStyle w:val="Compact"/>
            </w:pPr>
            <w:r>
              <w:t xml:space="preserve">16,000</w:t>
            </w:r>
          </w:p>
        </w:tc>
        <w:tc>
          <w:tcPr/>
          <w:p>
            <w:pPr>
              <w:pStyle w:val="Compac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S&amp;M</w:t>
            </w:r>
          </w:p>
        </w:tc>
        <w:tc>
          <w:tcPr/>
          <w:p>
            <w:pPr>
              <w:pStyle w:val="Compact"/>
            </w:pPr>
            <w:r>
              <w:t xml:space="preserve">1,500</w:t>
            </w:r>
          </w:p>
        </w:tc>
        <w:tc>
          <w:tcPr/>
          <w:p>
            <w:pPr>
              <w:pStyle w:val="Compact"/>
            </w:pPr>
            <w:r>
              <w:t xml:space="preserve">3,500</w:t>
            </w:r>
          </w:p>
        </w:tc>
        <w:tc>
          <w:tcPr/>
          <w:p>
            <w:pPr>
              <w:pStyle w:val="Compact"/>
            </w:pPr>
            <w:r>
              <w:t xml:space="preserve">7,000</w:t>
            </w:r>
          </w:p>
        </w:tc>
        <w:tc>
          <w:tcPr/>
          <w:p>
            <w:pPr>
              <w:pStyle w:val="Compact"/>
            </w:pPr>
            <w:r>
              <w:t xml:space="preserve">12,000</w:t>
            </w:r>
          </w:p>
        </w:tc>
        <w:tc>
          <w:tcPr/>
          <w:p>
            <w:pPr>
              <w:pStyle w:val="Compac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G&amp;A</w:t>
            </w:r>
          </w:p>
        </w:tc>
        <w:tc>
          <w:tcPr/>
          <w:p>
            <w:pPr>
              <w:pStyle w:val="Compact"/>
            </w:pPr>
            <w:r>
              <w:t xml:space="preserve">1,000</w:t>
            </w:r>
          </w:p>
        </w:tc>
        <w:tc>
          <w:tcPr/>
          <w:p>
            <w:pPr>
              <w:pStyle w:val="Compact"/>
            </w:pPr>
            <w:r>
              <w:t xml:space="preserve">2,000</w:t>
            </w:r>
          </w:p>
        </w:tc>
        <w:tc>
          <w:tcPr/>
          <w:p>
            <w:pPr>
              <w:pStyle w:val="Compact"/>
            </w:pPr>
            <w:r>
              <w:t xml:space="preserve">3,500</w:t>
            </w:r>
          </w:p>
        </w:tc>
        <w:tc>
          <w:tcPr/>
          <w:p>
            <w:pPr>
              <w:pStyle w:val="Compact"/>
            </w:pPr>
            <w:r>
              <w:t xml:space="preserve">6,000</w:t>
            </w:r>
          </w:p>
        </w:tc>
        <w:tc>
          <w:tcPr/>
          <w:p>
            <w:pPr>
              <w:pStyle w:val="Compac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EBITDA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(5,400)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(8,400)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(10,500)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(8,000)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4,000</w:t>
            </w:r>
          </w:p>
        </w:tc>
      </w:tr>
    </w:tbl>
    <w:p>
      <w:pPr>
        <w:pStyle w:val="Heading2"/>
      </w:pPr>
      <w:bookmarkStart w:id="9" w:name="_assumptions"/>
      <w:r>
        <w:t xml:space="preserve">Assumptions</w:t>
      </w:r>
    </w:p>
    <w:p>
      <w:pPr>
        <w:pStyle w:val="Compact"/>
        <w:numPr>
          <w:ilvl w:val="0"/>
          <w:numId w:val="1001"/>
        </w:numPr>
      </w:pPr>
      <w:r>
        <w:t xml:space="preserve">Entry ACV: SAR 500K – 1M</w:t>
      </w:r>
    </w:p>
    <w:p>
      <w:pPr>
        <w:pStyle w:val="Compact"/>
        <w:numPr>
          <w:ilvl w:val="0"/>
          <w:numId w:val="1001"/>
        </w:numPr>
      </w:pPr>
      <w:r>
        <w:t xml:space="preserve">Expansion: 30% YoY</w:t>
      </w:r>
    </w:p>
    <w:p>
      <w:pPr>
        <w:pStyle w:val="Compact"/>
        <w:numPr>
          <w:ilvl w:val="0"/>
          <w:numId w:val="1001"/>
        </w:numPr>
      </w:pPr>
      <w:r>
        <w:t xml:space="preserve">Churn: 5%</w:t>
      </w:r>
    </w:p>
    <w:p>
      <w:pPr>
        <w:pStyle w:val="Compact"/>
        <w:numPr>
          <w:ilvl w:val="0"/>
          <w:numId w:val="1001"/>
        </w:numPr>
      </w:pPr>
      <w:r>
        <w:t xml:space="preserve">Cash-flow positive Y5</w:t>
      </w:r>
    </w:p>
    <w:p>
      <w:pPr>
        <w:pStyle w:val="Heading2"/>
      </w:pPr>
      <w:bookmarkStart w:id="10" w:name="_77734cdca4759b1db921440f308ec6f0c986bc3"/>
      <w:r>
        <w:t xml:space="preserve">Implied Valuation Y5</w:t>
      </w:r>
    </w:p>
    <w:p>
      <w:pPr>
        <w:pStyle w:val="Compact"/>
        <w:numPr>
          <w:ilvl w:val="0"/>
          <w:numId w:val="1002"/>
        </w:numPr>
      </w:pPr>
      <w:r>
        <w:t xml:space="preserve">ARR: SAR 77M</w:t>
      </w:r>
    </w:p>
    <w:p>
      <w:pPr>
        <w:pStyle w:val="Compact"/>
        <w:numPr>
          <w:ilvl w:val="0"/>
          <w:numId w:val="1002"/>
        </w:numPr>
      </w:pPr>
      <w:r>
        <w:t xml:space="preserve">SaaS multiple 8-12x = SAR 600M – 900M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Five Year Projections</dc:title>
  <dc:creator>HISN Platform</dc:creator>
  <cp:keywords>HISN, FCDOS, financial crime, decision operating system</cp:keywords>
  <dcterms:created xsi:type="dcterms:W3CDTF">2026-10-13T13:04:10Z</dcterms:created>
  <dcterms:modified xsi:type="dcterms:W3CDTF">2026-10-13T13:04:10Z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