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HEADCOUNT &amp; PAYROLL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Quarter</w:t>
            </w:r>
          </w:p>
        </w:tc>
        <w:tc>
          <w:tcPr/>
          <w:p>
            <w:pPr>
              <w:pStyle w:val="Compact"/>
            </w:pPr>
            <w:r>
              <w:t xml:space="preserve">Eng</w:t>
            </w:r>
          </w:p>
        </w:tc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Sales</w:t>
            </w:r>
          </w:p>
        </w:tc>
        <w:tc>
          <w:tcPr/>
          <w:p>
            <w:pPr>
              <w:pStyle w:val="Compact"/>
            </w:pPr>
            <w:r>
              <w:t xml:space="preserve">G&amp;A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t xml:space="preserve">Payroll</w:t>
            </w:r>
          </w:p>
        </w:tc>
      </w:tr>
      <w:tr>
        <w:tc>
          <w:tcPr/>
          <w:p>
            <w:pPr>
              <w:pStyle w:val="Compact"/>
            </w:pPr>
            <w:r>
              <w:t xml:space="preserve">Q1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Headcount Payroll Plan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