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UNIT ECONOMICS</w:t>
      </w:r>
    </w:p>
    <w:p>
      <w:pPr>
        <w:pStyle w:val="Heading2"/>
      </w:pPr>
      <w:bookmarkStart w:id="9" w:name="_cac"/>
      <w:r>
        <w:t xml:space="preserve">CAC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CAC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Small FI</w:t>
            </w:r>
          </w:p>
        </w:tc>
        <w:tc>
          <w:tcPr/>
          <w:p>
            <w:pPr>
              <w:pStyle w:val="Compac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 Bank</w:t>
            </w:r>
          </w:p>
        </w:tc>
        <w:tc>
          <w:tcPr/>
          <w:p>
            <w:pPr>
              <w:pStyle w:val="Compac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Large Bank</w:t>
            </w:r>
          </w:p>
        </w:tc>
        <w:tc>
          <w:tcPr/>
          <w:p>
            <w:pPr>
              <w:pStyle w:val="Compact"/>
            </w:pPr>
            <w:r>
              <w:t xml:space="preserve">800,000</w:t>
            </w:r>
          </w:p>
        </w:tc>
      </w:tr>
    </w:tbl>
    <w:p>
      <w:pPr>
        <w:pStyle w:val="Heading2"/>
      </w:pPr>
      <w:bookmarkStart w:id="10" w:name="_ltv"/>
      <w:r>
        <w:t xml:space="preserve">LTV</w:t>
      </w:r>
    </w:p>
    <w:p>
      <w:pPr>
        <w:pStyle w:val="Compact"/>
        <w:numPr>
          <w:ilvl w:val="0"/>
          <w:numId w:val="1001"/>
        </w:numPr>
      </w:pPr>
      <w:r>
        <w:t xml:space="preserve">ACV: SAR 1M</w:t>
      </w:r>
    </w:p>
    <w:p>
      <w:pPr>
        <w:pStyle w:val="Compact"/>
        <w:numPr>
          <w:ilvl w:val="0"/>
          <w:numId w:val="1001"/>
        </w:numPr>
      </w:pPr>
      <w:r>
        <w:t xml:space="preserve">Retention: 5 years</w:t>
      </w:r>
    </w:p>
    <w:p>
      <w:pPr>
        <w:pStyle w:val="Compact"/>
        <w:numPr>
          <w:ilvl w:val="0"/>
          <w:numId w:val="1001"/>
        </w:numPr>
      </w:pPr>
      <w:r>
        <w:t xml:space="preserve">GM: 78%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LTV: SAR 3.9M</w:t>
      </w:r>
    </w:p>
    <w:p>
      <w:pPr>
        <w:pStyle w:val="Heading2"/>
      </w:pPr>
      <w:bookmarkStart w:id="11" w:name="_ratios"/>
      <w:r>
        <w:t xml:space="preserve">Ratios</w:t>
      </w:r>
    </w:p>
    <w:p>
      <w:pPr>
        <w:pStyle w:val="Compact"/>
        <w:numPr>
          <w:ilvl w:val="0"/>
          <w:numId w:val="1002"/>
        </w:numPr>
      </w:pPr>
      <w:r>
        <w:t xml:space="preserve">LTV/CAC: 4.8x – 5.2x</w:t>
      </w:r>
    </w:p>
    <w:p>
      <w:pPr>
        <w:pStyle w:val="Compact"/>
        <w:numPr>
          <w:ilvl w:val="0"/>
          <w:numId w:val="1002"/>
        </w:numPr>
      </w:pPr>
      <w:r>
        <w:t xml:space="preserve">Payback: 8-14 months</w:t>
      </w:r>
    </w:p>
    <w:p>
      <w:pPr>
        <w:pStyle w:val="Compact"/>
        <w:numPr>
          <w:ilvl w:val="0"/>
          <w:numId w:val="1002"/>
        </w:numPr>
      </w:pPr>
      <w:r>
        <w:t xml:space="preserve">NRR: 120%+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Economics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