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01_Founder_Master_Profile</w:t>
      </w:r>
    </w:p>
    <w:p>
      <w:pPr>
        <w:pStyle w:val="Author"/>
      </w:pPr>
      <w:r>
        <w:t xml:space="preserve">HISN Platform</w:t>
      </w:r>
    </w:p>
    <w:p>
      <w:pPr>
        <w:pStyle w:val="Heading1"/>
      </w:pPr>
      <w:bookmarkStart w:id="9" w:name="_61b9b0879e032a44042969c8cc9cc439beb4f13"/>
      <w:r>
        <w:t xml:space="preserve">FOUNDER MASTER PROFILE</w:t>
      </w:r>
    </w:p>
    <w:p>
      <w:pPr>
        <w:pStyle w:val="FirstParagraph"/>
      </w:pPr>
      <w:r>
        <w:rPr>
          <w:b/>
          <w:bCs/>
        </w:rPr>
        <w:t xml:space="preserve">Mohamed Abdo | Founder &amp; CEO</w:t>
      </w:r>
      <w:r>
        <w:t xml:space="preserve"> </w:t>
      </w:r>
      <w:r>
        <w:rPr>
          <w:b/>
          <w:bCs/>
        </w:rPr>
        <w:t xml:space="preserve">HISN Platform | Riyadh, Saudi Arabia</w:t>
      </w:r>
    </w:p>
    <w:p>
      <w:r>
        <w:pict>
          <v:rect style="width:0;height:1.5pt" o:hralign="center" o:hrstd="t" o:hr="t"/>
        </w:pict>
      </w:r>
    </w:p>
    <w:p>
      <w:pPr>
        <w:pStyle w:val="Heading2"/>
      </w:pPr>
      <w:bookmarkStart w:id="10" w:name="_63b30421eda5829e3b98dda769af9b79e5343d5"/>
      <w:r>
        <w:t xml:space="preserve">1. Executive Profile</w:t>
      </w:r>
    </w:p>
    <w:p>
      <w:pPr>
        <w:pStyle w:val="FirstParagraph"/>
      </w:pPr>
      <w:r>
        <w:t xml:space="preserve">Mohamed Abdo is a Saudi-market operator and fintech founder with 20 years of professional experience, including 12 years in Saudi Arabia. His background spans operations, commercial strategy, technology-enabled business processes, fintech, and compliance.</w:t>
      </w:r>
    </w:p>
    <w:p>
      <w:pPr>
        <w:pStyle w:val="BodyText"/>
      </w:pPr>
      <w:r>
        <w:t xml:space="preserve">His Founder-Market Fit for HISN combines:</w:t>
      </w:r>
      <w:r>
        <w:t xml:space="preserve"> </w:t>
      </w:r>
      <w:r>
        <w:t xml:space="preserve">- Financial services operations</w:t>
      </w:r>
      <w:r>
        <w:t xml:space="preserve"> </w:t>
      </w:r>
      <w:r>
        <w:t xml:space="preserve">- KYC/KYB and AML/CFT exposure</w:t>
      </w:r>
      <w:r>
        <w:t xml:space="preserve"> </w:t>
      </w:r>
      <w:r>
        <w:t xml:space="preserve">- Regulatory research</w:t>
      </w:r>
      <w:r>
        <w:t xml:space="preserve"> </w:t>
      </w:r>
      <w:r>
        <w:t xml:space="preserve">- Enterprise negotiation</w:t>
      </w:r>
      <w:r>
        <w:t xml:space="preserve"> </w:t>
      </w:r>
      <w:r>
        <w:t xml:space="preserve">- Technology-enabled business models</w:t>
      </w:r>
      <w:r>
        <w:t xml:space="preserve"> </w:t>
      </w:r>
      <w:r>
        <w:t xml:space="preserve">- Investor and partner communications</w:t>
      </w:r>
    </w:p>
    <w:p>
      <w:pPr>
        <w:pStyle w:val="Heading2"/>
      </w:pPr>
      <w:bookmarkStart w:id="11" w:name="_9c96c00382615d16173b8fe435a0e6c92a8c958"/>
      <w:r>
        <w:t xml:space="preserve">2. Career Summary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Years</w:t>
            </w:r>
          </w:p>
        </w:tc>
        <w:tc>
          <w:tcPr/>
          <w:p>
            <w:pPr>
              <w:pStyle w:val="Compact"/>
            </w:pPr>
            <w:r>
              <w:t xml:space="preserve">Role</w:t>
            </w:r>
          </w:p>
        </w:tc>
        <w:tc>
          <w:tcPr/>
          <w:p>
            <w:pPr>
              <w:pStyle w:val="Compact"/>
            </w:pPr>
            <w:r>
              <w:t xml:space="preserve">Organization</w:t>
            </w:r>
          </w:p>
        </w:tc>
        <w:tc>
          <w:tcPr/>
          <w:p>
            <w:pPr>
              <w:pStyle w:val="Compact"/>
            </w:pPr>
            <w:r>
              <w:t xml:space="preserve">Location</w:t>
            </w:r>
          </w:p>
        </w:tc>
      </w:tr>
      <w:tr>
        <w:tc>
          <w:tcPr/>
          <w:p>
            <w:pPr>
              <w:pStyle w:val="Compact"/>
            </w:pPr>
            <w:r>
              <w:t xml:space="preserve">2014-Present</w:t>
            </w:r>
          </w:p>
        </w:tc>
        <w:tc>
          <w:tcPr/>
          <w:p>
            <w:pPr>
              <w:pStyle w:val="Compact"/>
            </w:pPr>
            <w:r>
              <w:t xml:space="preserve">Various leadership</w:t>
            </w:r>
          </w:p>
        </w:tc>
        <w:tc>
          <w:tcPr/>
          <w:p>
            <w:pPr>
              <w:pStyle w:val="Compact"/>
            </w:pPr>
            <w:r>
              <w:t xml:space="preserve">Multiple</w:t>
            </w:r>
          </w:p>
        </w:tc>
        <w:tc>
          <w:tcPr/>
          <w:p>
            <w:pPr>
              <w:pStyle w:val="Compact"/>
            </w:pPr>
            <w:r>
              <w:t xml:space="preserve">KSA</w:t>
            </w:r>
          </w:p>
        </w:tc>
      </w:tr>
      <w:tr>
        <w:tc>
          <w:tcPr/>
          <w:p>
            <w:pPr>
              <w:pStyle w:val="Compact"/>
            </w:pPr>
            <w:r>
              <w:t xml:space="preserve">Prior</w:t>
            </w:r>
          </w:p>
        </w:tc>
        <w:tc>
          <w:tcPr/>
          <w:p>
            <w:pPr>
              <w:pStyle w:val="Compact"/>
            </w:pPr>
            <w:r>
              <w:t xml:space="preserve">Commercial &amp; Operations</w:t>
            </w:r>
          </w:p>
        </w:tc>
        <w:tc>
          <w:tcPr/>
          <w:p>
            <w:pPr>
              <w:pStyle w:val="Compact"/>
            </w:pPr>
            <w:r>
              <w:t xml:space="preserve">Multiple</w:t>
            </w:r>
          </w:p>
        </w:tc>
        <w:tc>
          <w:tcPr/>
          <w:p>
            <w:pPr>
              <w:pStyle w:val="Compact"/>
            </w:pPr>
            <w:r>
              <w:t xml:space="preserve">Egypt, KSA</w:t>
            </w:r>
          </w:p>
        </w:tc>
      </w:tr>
    </w:tbl>
    <w:p>
      <w:pPr>
        <w:pStyle w:val="FirstParagraph"/>
      </w:pPr>
      <w:r>
        <w:rPr>
          <w:b/>
          <w:bCs/>
        </w:rPr>
        <w:t xml:space="preserve">Total Experience:</w:t>
      </w:r>
      <w:r>
        <w:t xml:space="preserve"> </w:t>
      </w:r>
      <w:r>
        <w:t xml:space="preserve">20 years</w:t>
      </w:r>
      <w:r>
        <w:t xml:space="preserve"> </w:t>
      </w:r>
      <w:r>
        <w:rPr>
          <w:b/>
          <w:bCs/>
        </w:rPr>
        <w:t xml:space="preserve">KSA Experience:</w:t>
      </w:r>
      <w:r>
        <w:t xml:space="preserve"> </w:t>
      </w:r>
      <w:r>
        <w:t xml:space="preserve">12 years</w:t>
      </w:r>
      <w:r>
        <w:t xml:space="preserve"> </w:t>
      </w:r>
      <w:r>
        <w:rPr>
          <w:b/>
          <w:bCs/>
        </w:rPr>
        <w:t xml:space="preserve">Egypt Experience:</w:t>
      </w:r>
      <w:r>
        <w:t xml:space="preserve"> </w:t>
      </w:r>
      <w:r>
        <w:t xml:space="preserve">8 years</w:t>
      </w:r>
    </w:p>
    <w:p>
      <w:pPr>
        <w:pStyle w:val="Heading2"/>
      </w:pPr>
      <w:bookmarkStart w:id="12" w:name="_ad4cb276a779768edf163e9340c9841ed91e570"/>
      <w:r>
        <w:t xml:space="preserve">3. Founder-Market Fit</w:t>
      </w:r>
    </w:p>
    <w:p>
      <w:pPr>
        <w:pStyle w:val="FirstParagraph"/>
      </w:pPr>
      <w:r>
        <w:rPr>
          <w:b/>
          <w:bCs/>
        </w:rPr>
        <w:t xml:space="preserve">Why Mohamed Abdo is the right founder for HISN: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Evidence</w:t>
            </w:r>
          </w:p>
        </w:tc>
      </w:tr>
      <w:tr>
        <w:tc>
          <w:tcPr/>
          <w:p>
            <w:pPr>
              <w:pStyle w:val="Compact"/>
            </w:pPr>
            <w:r>
              <w:t xml:space="preserve">Financial crime domain</w:t>
            </w:r>
          </w:p>
        </w:tc>
        <w:tc>
          <w:tcPr/>
          <w:p>
            <w:pPr>
              <w:pStyle w:val="Compact"/>
            </w:pPr>
            <w:r>
              <w:t xml:space="preserve">KYC/KYB + AML/CFT policy construction</w:t>
            </w:r>
          </w:p>
        </w:tc>
      </w:tr>
      <w:tr>
        <w:tc>
          <w:tcPr/>
          <w:p>
            <w:pPr>
              <w:pStyle w:val="Compact"/>
            </w:pPr>
            <w:r>
              <w:t xml:space="preserve">Regulatory research</w:t>
            </w:r>
          </w:p>
        </w:tc>
        <w:tc>
          <w:tcPr/>
          <w:p>
            <w:pPr>
              <w:pStyle w:val="Compact"/>
            </w:pPr>
            <w:r>
              <w:t xml:space="preserve">SAMA/CMA framework analysis</w:t>
            </w:r>
          </w:p>
        </w:tc>
      </w:tr>
      <w:tr>
        <w:tc>
          <w:tcPr/>
          <w:p>
            <w:pPr>
              <w:pStyle w:val="Compact"/>
            </w:pPr>
            <w:r>
              <w:t xml:space="preserve">Enterprise negotiation</w:t>
            </w:r>
          </w:p>
        </w:tc>
        <w:tc>
          <w:tcPr/>
          <w:p>
            <w:pPr>
              <w:pStyle w:val="Compact"/>
            </w:pPr>
            <w:r>
              <w:t xml:space="preserve">ELM/Rowad commercial achievements</w:t>
            </w:r>
          </w:p>
        </w:tc>
      </w:tr>
      <w:tr>
        <w:tc>
          <w:tcPr/>
          <w:p>
            <w:pPr>
              <w:pStyle w:val="Compact"/>
            </w:pPr>
            <w:r>
              <w:t xml:space="preserve">Technology understanding</w:t>
            </w:r>
          </w:p>
        </w:tc>
        <w:tc>
          <w:tcPr/>
          <w:p>
            <w:pPr>
              <w:pStyle w:val="Compact"/>
            </w:pPr>
            <w:r>
              <w:t xml:space="preserve">Fintech platform experience</w:t>
            </w:r>
          </w:p>
        </w:tc>
      </w:tr>
      <w:tr>
        <w:tc>
          <w:tcPr/>
          <w:p>
            <w:pPr>
              <w:pStyle w:val="Compact"/>
            </w:pPr>
            <w:r>
              <w:t xml:space="preserve">Operating discipline</w:t>
            </w:r>
          </w:p>
        </w:tc>
        <w:tc>
          <w:tcPr/>
          <w:p>
            <w:pPr>
              <w:pStyle w:val="Compact"/>
            </w:pPr>
            <w:r>
              <w:t xml:space="preserve">Track record of process design</w:t>
            </w:r>
          </w:p>
        </w:tc>
      </w:tr>
      <w:tr>
        <w:tc>
          <w:tcPr/>
          <w:p>
            <w:pPr>
              <w:pStyle w:val="Compact"/>
            </w:pPr>
            <w:r>
              <w:t xml:space="preserve">Investor readiness</w:t>
            </w:r>
          </w:p>
        </w:tc>
        <w:tc>
          <w:tcPr/>
          <w:p>
            <w:pPr>
              <w:pStyle w:val="Compact"/>
            </w:pPr>
            <w:r>
              <w:t xml:space="preserve">40+ investor meetings</w:t>
            </w:r>
          </w:p>
        </w:tc>
      </w:tr>
    </w:tbl>
    <w:p>
      <w:pPr>
        <w:pStyle w:val="Heading2"/>
      </w:pPr>
      <w:bookmarkStart w:id="13" w:name="_30974aa7c722a1131353757008165d67d7f80bc"/>
      <w:r>
        <w:t xml:space="preserve">4. Selected Achievements</w:t>
      </w:r>
    </w:p>
    <w:p>
      <w:pPr>
        <w:pStyle w:val="Heading3"/>
      </w:pPr>
      <w:bookmarkStart w:id="14" w:name="_73a8726babb70b1a7013ccf99a56fdaaabc9ddf"/>
      <w:r>
        <w:t xml:space="preserve">Dhamim — Compliance &amp; Operations</w:t>
      </w:r>
    </w:p>
    <w:p>
      <w:pPr>
        <w:pStyle w:val="Compact"/>
        <w:numPr>
          <w:ilvl w:val="0"/>
          <w:numId w:val="1001"/>
        </w:numPr>
      </w:pPr>
      <w:r>
        <w:t xml:space="preserve">Built AML/CFT and KYC/KYB policies from scratch</w:t>
      </w:r>
    </w:p>
    <w:p>
      <w:pPr>
        <w:pStyle w:val="Compact"/>
        <w:numPr>
          <w:ilvl w:val="0"/>
          <w:numId w:val="1001"/>
        </w:numPr>
      </w:pPr>
      <w:r>
        <w:t xml:space="preserve">Designed operational manuals</w:t>
      </w:r>
    </w:p>
    <w:p>
      <w:pPr>
        <w:pStyle w:val="Compact"/>
        <w:numPr>
          <w:ilvl w:val="0"/>
          <w:numId w:val="1001"/>
        </w:numPr>
      </w:pPr>
      <w:r>
        <w:t xml:space="preserve">Established audit-ready compliance frameworks</w:t>
      </w:r>
    </w:p>
    <w:p>
      <w:pPr>
        <w:pStyle w:val="Heading3"/>
      </w:pPr>
      <w:bookmarkStart w:id="15" w:name="_1806c48eda04e0d3103f7cbfaa6ec40ebebefa8"/>
      <w:r>
        <w:t xml:space="preserve">ELM / SDAIA / SMS Negotiations</w:t>
      </w:r>
    </w:p>
    <w:p>
      <w:pPr>
        <w:pStyle w:val="Compact"/>
        <w:numPr>
          <w:ilvl w:val="0"/>
          <w:numId w:val="1002"/>
        </w:numPr>
      </w:pPr>
      <w:r>
        <w:t xml:space="preserve">Reported SAR 8M+ annual savings</w:t>
      </w:r>
    </w:p>
    <w:p>
      <w:pPr>
        <w:pStyle w:val="Compact"/>
        <w:numPr>
          <w:ilvl w:val="0"/>
          <w:numId w:val="1002"/>
        </w:numPr>
      </w:pPr>
      <w:r>
        <w:t xml:space="preserve">Reported up to SAR 33.8M over 5 years</w:t>
      </w:r>
    </w:p>
    <w:p>
      <w:pPr>
        <w:pStyle w:val="Compact"/>
        <w:numPr>
          <w:ilvl w:val="0"/>
          <w:numId w:val="1002"/>
        </w:numPr>
      </w:pPr>
      <w:r>
        <w:t xml:space="preserve">Discounts on Yaqeen, Naba, OTP, Nafath</w:t>
      </w:r>
    </w:p>
    <w:p>
      <w:pPr>
        <w:pStyle w:val="Heading3"/>
      </w:pPr>
      <w:bookmarkStart w:id="16" w:name="_9efcb23733aa4f1370b4b0c96f67ff67112084a"/>
      <w:r>
        <w:t xml:space="preserve">Strategic Partnerships</w:t>
      </w:r>
    </w:p>
    <w:p>
      <w:pPr>
        <w:pStyle w:val="Compact"/>
        <w:numPr>
          <w:ilvl w:val="0"/>
          <w:numId w:val="1003"/>
        </w:numPr>
      </w:pPr>
      <w:r>
        <w:t xml:space="preserve">Haraj, Salla, Zid, HungerStation, SingleView</w:t>
      </w:r>
    </w:p>
    <w:p>
      <w:pPr>
        <w:pStyle w:val="Compact"/>
        <w:numPr>
          <w:ilvl w:val="0"/>
          <w:numId w:val="1003"/>
        </w:numPr>
      </w:pPr>
      <w:r>
        <w:t xml:space="preserve">Payment gateway integration (Alinma sandbox)</w:t>
      </w:r>
    </w:p>
    <w:p>
      <w:pPr>
        <w:pStyle w:val="Compact"/>
        <w:numPr>
          <w:ilvl w:val="0"/>
          <w:numId w:val="1003"/>
        </w:numPr>
      </w:pPr>
      <w:r>
        <w:t xml:space="preserve">10 successful test transactions</w:t>
      </w:r>
    </w:p>
    <w:p>
      <w:pPr>
        <w:pStyle w:val="Heading3"/>
      </w:pPr>
      <w:bookmarkStart w:id="17" w:name="_6e74ee0d2ccefcdcbec1fb2dc3da647f3915112"/>
      <w:r>
        <w:t xml:space="preserve">Operational Excellence</w:t>
      </w:r>
    </w:p>
    <w:p>
      <w:pPr>
        <w:pStyle w:val="Compact"/>
        <w:numPr>
          <w:ilvl w:val="0"/>
          <w:numId w:val="1004"/>
        </w:numPr>
      </w:pPr>
      <w:r>
        <w:t xml:space="preserve">Cosmoplast: 28% reduction in order-to-delivery</w:t>
      </w:r>
    </w:p>
    <w:p>
      <w:pPr>
        <w:pStyle w:val="Compact"/>
        <w:numPr>
          <w:ilvl w:val="0"/>
          <w:numId w:val="1004"/>
        </w:numPr>
      </w:pPr>
      <w:r>
        <w:t xml:space="preserve">Cosmoplast: 35% lead conversion increase</w:t>
      </w:r>
    </w:p>
    <w:p>
      <w:pPr>
        <w:pStyle w:val="Compact"/>
        <w:numPr>
          <w:ilvl w:val="0"/>
          <w:numId w:val="1004"/>
        </w:numPr>
      </w:pPr>
      <w:r>
        <w:t xml:space="preserve">Cosmoplast: 12% operational-cost reduction</w:t>
      </w:r>
    </w:p>
    <w:p>
      <w:pPr>
        <w:pStyle w:val="Compact"/>
        <w:numPr>
          <w:ilvl w:val="0"/>
          <w:numId w:val="1004"/>
        </w:numPr>
      </w:pPr>
      <w:r>
        <w:t xml:space="preserve">Daffah: 15-member team to 108% of target</w:t>
      </w:r>
    </w:p>
    <w:p>
      <w:pPr>
        <w:pStyle w:val="Compact"/>
        <w:numPr>
          <w:ilvl w:val="0"/>
          <w:numId w:val="1004"/>
        </w:numPr>
      </w:pPr>
      <w:r>
        <w:t xml:space="preserve">HPG Holding: forecast accuracy 65% to 88%</w:t>
      </w:r>
    </w:p>
    <w:p>
      <w:pPr>
        <w:pStyle w:val="Heading2"/>
      </w:pPr>
      <w:bookmarkStart w:id="18" w:name="_8f06e6e66e3633f6375430e7e81bc62b30abb8c"/>
      <w:r>
        <w:t xml:space="preserve">5. Education &amp; Credentials</w:t>
      </w:r>
    </w:p>
    <w:p>
      <w:pPr>
        <w:pStyle w:val="FirstParagraph"/>
      </w:pPr>
      <w:r>
        <w:rPr>
          <w:b/>
          <w:bCs/>
        </w:rPr>
        <w:t xml:space="preserve">Education:</w:t>
      </w:r>
      <w:r>
        <w:t xml:space="preserve"> </w:t>
      </w:r>
      <w:r>
        <w:t xml:space="preserve">- Bachelor of Science, Chemistry &amp; Microbiology</w:t>
      </w:r>
      <w:r>
        <w:t xml:space="preserve"> </w:t>
      </w:r>
      <w:r>
        <w:t xml:space="preserve">- Assiut University, Egypt, 2012</w:t>
      </w:r>
    </w:p>
    <w:p>
      <w:pPr>
        <w:pStyle w:val="BodyText"/>
      </w:pPr>
      <w:r>
        <w:rPr>
          <w:b/>
          <w:bCs/>
        </w:rPr>
        <w:t xml:space="preserve">Certifications:</w:t>
      </w:r>
      <w:r>
        <w:t xml:space="preserve"> </w:t>
      </w:r>
      <w:r>
        <w:t xml:space="preserve">- SAP Analytics Cloud</w:t>
      </w:r>
      <w:r>
        <w:t xml:space="preserve"> </w:t>
      </w:r>
      <w:r>
        <w:t xml:space="preserve">- Banking Industry</w:t>
      </w:r>
      <w:r>
        <w:t xml:space="preserve"> </w:t>
      </w:r>
      <w:r>
        <w:t xml:space="preserve">- AI for Business Professionals</w:t>
      </w:r>
      <w:r>
        <w:t xml:space="preserve"> </w:t>
      </w:r>
      <w:r>
        <w:t xml:space="preserve">- Cybersecurity Awareness</w:t>
      </w:r>
      <w:r>
        <w:t xml:space="preserve"> </w:t>
      </w:r>
      <w:r>
        <w:t xml:space="preserve">- Data Science &amp; Analytics</w:t>
      </w:r>
      <w:r>
        <w:t xml:space="preserve"> </w:t>
      </w:r>
      <w:r>
        <w:t xml:space="preserve">- Tableau Data Visualization</w:t>
      </w:r>
      <w:r>
        <w:t xml:space="preserve"> </w:t>
      </w:r>
      <w:r>
        <w:t xml:space="preserve">- Financial Analysis</w:t>
      </w:r>
      <w:r>
        <w:t xml:space="preserve"> </w:t>
      </w:r>
      <w:r>
        <w:t xml:space="preserve">- Coaching &amp; Mentoring</w:t>
      </w:r>
    </w:p>
    <w:p>
      <w:pPr>
        <w:pStyle w:val="Heading2"/>
      </w:pPr>
      <w:bookmarkStart w:id="19" w:name="_048c0808124bd5b04708c0dd37993c72c9fee5b"/>
      <w:r>
        <w:t xml:space="preserve">6. Core Capabilities</w:t>
      </w:r>
    </w:p>
    <w:p>
      <w:pPr>
        <w:pStyle w:val="Compact"/>
        <w:numPr>
          <w:ilvl w:val="0"/>
          <w:numId w:val="1005"/>
        </w:numPr>
      </w:pPr>
      <w:r>
        <w:t xml:space="preserve">Commercial strategy &amp; enterprise negotiation</w:t>
      </w:r>
    </w:p>
    <w:p>
      <w:pPr>
        <w:pStyle w:val="Compact"/>
        <w:numPr>
          <w:ilvl w:val="0"/>
          <w:numId w:val="1005"/>
        </w:numPr>
      </w:pPr>
      <w:r>
        <w:t xml:space="preserve">Operations design &amp; execution</w:t>
      </w:r>
    </w:p>
    <w:p>
      <w:pPr>
        <w:pStyle w:val="Compact"/>
        <w:numPr>
          <w:ilvl w:val="0"/>
          <w:numId w:val="1005"/>
        </w:numPr>
      </w:pPr>
      <w:r>
        <w:t xml:space="preserve">FinTech business models</w:t>
      </w:r>
    </w:p>
    <w:p>
      <w:pPr>
        <w:pStyle w:val="Compact"/>
        <w:numPr>
          <w:ilvl w:val="0"/>
          <w:numId w:val="1005"/>
        </w:numPr>
      </w:pPr>
      <w:r>
        <w:t xml:space="preserve">KYC / KYB / AML-CFT</w:t>
      </w:r>
    </w:p>
    <w:p>
      <w:pPr>
        <w:pStyle w:val="Compact"/>
        <w:numPr>
          <w:ilvl w:val="0"/>
          <w:numId w:val="1005"/>
        </w:numPr>
      </w:pPr>
      <w:r>
        <w:t xml:space="preserve">Regulatory research &amp; stakeholder management</w:t>
      </w:r>
    </w:p>
    <w:p>
      <w:pPr>
        <w:pStyle w:val="Compact"/>
        <w:numPr>
          <w:ilvl w:val="0"/>
          <w:numId w:val="1005"/>
        </w:numPr>
      </w:pPr>
      <w:r>
        <w:t xml:space="preserve">Banking/fintech partnership coordination</w:t>
      </w:r>
    </w:p>
    <w:p>
      <w:pPr>
        <w:pStyle w:val="Compact"/>
        <w:numPr>
          <w:ilvl w:val="0"/>
          <w:numId w:val="1005"/>
        </w:numPr>
      </w:pPr>
      <w:r>
        <w:t xml:space="preserve">Cross-functional leadership</w:t>
      </w:r>
    </w:p>
    <w:p>
      <w:pPr>
        <w:pStyle w:val="Compact"/>
        <w:numPr>
          <w:ilvl w:val="0"/>
          <w:numId w:val="1005"/>
        </w:numPr>
      </w:pPr>
      <w:r>
        <w:t xml:space="preserve">CRM / ERP / SAP / Power BI / Tableau</w:t>
      </w:r>
    </w:p>
    <w:p>
      <w:pPr>
        <w:pStyle w:val="Compact"/>
        <w:numPr>
          <w:ilvl w:val="0"/>
          <w:numId w:val="1005"/>
        </w:numPr>
      </w:pPr>
      <w:r>
        <w:t xml:space="preserve">Data analysis &amp; forecasting</w:t>
      </w:r>
    </w:p>
    <w:p>
      <w:pPr>
        <w:pStyle w:val="Compact"/>
        <w:numPr>
          <w:ilvl w:val="0"/>
          <w:numId w:val="1005"/>
        </w:numPr>
      </w:pPr>
      <w:r>
        <w:t xml:space="preserve">Investor &amp; partner communications</w:t>
      </w:r>
    </w:p>
    <w:p>
      <w:pPr>
        <w:pStyle w:val="Heading2"/>
      </w:pPr>
      <w:bookmarkStart w:id="20" w:name="_25472d762a6de6a52d4ec7cfc0b74c6b19db616"/>
      <w:r>
        <w:t xml:space="preserve">7. Bio — Short (100 words)</w:t>
      </w:r>
    </w:p>
    <w:p>
      <w:pPr>
        <w:pStyle w:val="FirstParagraph"/>
      </w:pPr>
      <w:r>
        <w:t xml:space="preserve">Mohamed Abdo is the Founder &amp; CEO of HISN, a Saudi fintech/regtech venture building a Financial Crime Decision Operating System. He brings 20 years of professional experience, including 12 years in Saudi Arabia, spanning operations, commercial strategy, technology-enabled business processes, and fintech. His recent work includes building KYC/KYB and AML/CFT operating frameworks, negotiating enterprise technology services, coordinating banking integrations, and preparing investor and strategic-partner engagements. His operating track record includes measurable cost, conversion, forecasting, and delivery-cycle improvements across multiple sectors.</w:t>
      </w:r>
    </w:p>
    <w:p>
      <w:pPr>
        <w:pStyle w:val="Heading2"/>
      </w:pPr>
      <w:bookmarkStart w:id="21" w:name="_d4eefdd9820c1e502b5d730eed7ae7933f7c6ba"/>
      <w:r>
        <w:t xml:space="preserve">8. Bio — Medium (250 words)</w:t>
      </w:r>
    </w:p>
    <w:p>
      <w:pPr>
        <w:pStyle w:val="FirstParagraph"/>
      </w:pPr>
      <w:r>
        <w:t xml:space="preserve">Mohamed Abdo is the Founder &amp; CEO of HISN, a Saudi fintech/regtech platform designed around decision intelligence, evidence, and auditable financial-crime workflows. He brings 20 years of professional experience, including 12 years in the Saudi market and 8 years in Egypt. His career began in pharmaceutical product and commercial roles, developed through Saudi sales and operations leadership, and progressed into technology and fintech environments.</w:t>
      </w:r>
    </w:p>
    <w:p>
      <w:pPr>
        <w:pStyle w:val="BodyText"/>
      </w:pPr>
      <w:r>
        <w:t xml:space="preserve">His recent fintech experience provides direct context for HISN’s problem space. He has worked on KYC/KYB and AML/CFT operating policies, operational manuals, regulatory and compliance analysis, banking/fintech partnerships, payment integration, and investor preparation. His documented operating record includes negotiating enterprise technology services, leading cross-functional teams, improving sales conversion, shortening order-to-delivery cycles, and increasing forecast accuracy.</w:t>
      </w:r>
    </w:p>
    <w:p>
      <w:pPr>
        <w:pStyle w:val="BodyText"/>
      </w:pPr>
      <w:r>
        <w:t xml:space="preserve">The founder’s differentiation is based on operating inside the commercial, regulatory, and execution layers that financial institutions navigate, then translating those requirements into a technology product architecture with an evidence-first decision model. This background informs HISN’s focus on explainable, auditable decisions rather than simply producing alerts.</w:t>
      </w:r>
    </w:p>
    <w:p>
      <w:pPr>
        <w:pStyle w:val="Heading2"/>
      </w:pPr>
      <w:bookmarkStart w:id="22" w:name="_4675e3880cb19be6bd5f4649cc0d4ccc5c80657"/>
      <w:r>
        <w:t xml:space="preserve">9. Founder’s Vision</w:t>
      </w:r>
    </w:p>
    <w:p>
      <w:pPr>
        <w:pStyle w:val="BlockText"/>
      </w:pPr>
      <w:r>
        <w:t xml:space="preserve">“We are building the infrastructure of trust for the next generation of Saudi financial institutions. HISN is the culmination of two decades of solving complex technology and compliance challenges in the region.”</w:t>
      </w:r>
    </w:p>
    <w:p>
      <w:pPr>
        <w:pStyle w:val="Heading2"/>
      </w:pPr>
      <w:bookmarkStart w:id="23" w:name="_57d1c8478b86a99180bacce7f4fae34e139c0d0"/>
      <w:r>
        <w:t xml:space="preserve">10. Founder Evidence Matrix</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Claim</w:t>
            </w:r>
          </w:p>
        </w:tc>
        <w:tc>
          <w:tcPr/>
          <w:p>
            <w:pPr>
              <w:pStyle w:val="Compact"/>
            </w:pPr>
            <w:r>
              <w:t xml:space="preserve">Evidence Source</w:t>
            </w:r>
          </w:p>
        </w:tc>
        <w:tc>
          <w:tcPr/>
          <w:p>
            <w:pPr>
              <w:pStyle w:val="Compact"/>
            </w:pPr>
            <w:r>
              <w:t xml:space="preserve">Strength</w:t>
            </w:r>
          </w:p>
        </w:tc>
      </w:tr>
      <w:tr>
        <w:tc>
          <w:tcPr/>
          <w:p>
            <w:pPr>
              <w:pStyle w:val="Compact"/>
            </w:pPr>
            <w:r>
              <w:t xml:space="preserve">20 years experience / 12 KSA</w:t>
            </w:r>
          </w:p>
        </w:tc>
        <w:tc>
          <w:tcPr/>
          <w:p>
            <w:pPr>
              <w:pStyle w:val="Compact"/>
            </w:pPr>
            <w:r>
              <w:t xml:space="preserve">CV</w:t>
            </w:r>
          </w:p>
        </w:tc>
        <w:tc>
          <w:tcPr/>
          <w:p>
            <w:pPr>
              <w:pStyle w:val="Compact"/>
            </w:pPr>
            <w:r>
              <w:t xml:space="preserve">High</w:t>
            </w:r>
          </w:p>
        </w:tc>
      </w:tr>
      <w:tr>
        <w:tc>
          <w:tcPr/>
          <w:p>
            <w:pPr>
              <w:pStyle w:val="Compact"/>
            </w:pPr>
            <w:r>
              <w:t xml:space="preserve">Fintech + compliance</w:t>
            </w:r>
          </w:p>
        </w:tc>
        <w:tc>
          <w:tcPr/>
          <w:p>
            <w:pPr>
              <w:pStyle w:val="Compact"/>
            </w:pPr>
            <w:r>
              <w:t xml:space="preserve">CV + narrative</w:t>
            </w:r>
          </w:p>
        </w:tc>
        <w:tc>
          <w:tcPr/>
          <w:p>
            <w:pPr>
              <w:pStyle w:val="Compact"/>
            </w:pPr>
            <w:r>
              <w:t xml:space="preserve">High</w:t>
            </w:r>
          </w:p>
        </w:tc>
      </w:tr>
      <w:tr>
        <w:tc>
          <w:tcPr/>
          <w:p>
            <w:pPr>
              <w:pStyle w:val="Compact"/>
            </w:pPr>
            <w:r>
              <w:t xml:space="preserve">ELM/Rowad savings</w:t>
            </w:r>
          </w:p>
        </w:tc>
        <w:tc>
          <w:tcPr/>
          <w:p>
            <w:pPr>
              <w:pStyle w:val="Compact"/>
            </w:pPr>
            <w:r>
              <w:t xml:space="preserve">Offers + contracts</w:t>
            </w:r>
          </w:p>
        </w:tc>
        <w:tc>
          <w:tcPr/>
          <w:p>
            <w:pPr>
              <w:pStyle w:val="Compact"/>
            </w:pPr>
            <w:r>
              <w:t xml:space="preserve">High at document level</w:t>
            </w:r>
          </w:p>
        </w:tc>
      </w:tr>
      <w:tr>
        <w:tc>
          <w:tcPr/>
          <w:p>
            <w:pPr>
              <w:pStyle w:val="Compact"/>
            </w:pPr>
            <w:r>
              <w:t xml:space="preserve">40+ investor meetings</w:t>
            </w:r>
          </w:p>
        </w:tc>
        <w:tc>
          <w:tcPr/>
          <w:p>
            <w:pPr>
              <w:pStyle w:val="Compact"/>
            </w:pPr>
            <w:r>
              <w:t xml:space="preserve">CV</w:t>
            </w:r>
          </w:p>
        </w:tc>
        <w:tc>
          <w:tcPr/>
          <w:p>
            <w:pPr>
              <w:pStyle w:val="Compact"/>
            </w:pPr>
            <w:r>
              <w:t xml:space="preserve">Medium-High</w:t>
            </w:r>
          </w:p>
        </w:tc>
      </w:tr>
      <w:tr>
        <w:tc>
          <w:tcPr/>
          <w:p>
            <w:pPr>
              <w:pStyle w:val="Compact"/>
            </w:pPr>
            <w:r>
              <w:t xml:space="preserve">10 test transactions</w:t>
            </w:r>
          </w:p>
        </w:tc>
        <w:tc>
          <w:tcPr/>
          <w:p>
            <w:pPr>
              <w:pStyle w:val="Compact"/>
            </w:pPr>
            <w:r>
              <w:t xml:space="preserve">CV</w:t>
            </w:r>
          </w:p>
        </w:tc>
        <w:tc>
          <w:tcPr/>
          <w:p>
            <w:pPr>
              <w:pStyle w:val="Compact"/>
            </w:pPr>
            <w:r>
              <w:t xml:space="preserve">Medium</w:t>
            </w:r>
          </w:p>
        </w:tc>
      </w:tr>
      <w:tr>
        <w:tc>
          <w:tcPr/>
          <w:p>
            <w:pPr>
              <w:pStyle w:val="Compact"/>
            </w:pPr>
            <w:r>
              <w:t xml:space="preserve">Alinma sandbox</w:t>
            </w:r>
          </w:p>
        </w:tc>
        <w:tc>
          <w:tcPr/>
          <w:p>
            <w:pPr>
              <w:pStyle w:val="Compact"/>
            </w:pPr>
            <w:r>
              <w:t xml:space="preserve">CV</w:t>
            </w:r>
          </w:p>
        </w:tc>
        <w:tc>
          <w:tcPr/>
          <w:p>
            <w:pPr>
              <w:pStyle w:val="Compact"/>
            </w:pPr>
            <w:r>
              <w:t xml:space="preserve">Medium</w:t>
            </w:r>
          </w:p>
        </w:tc>
      </w:tr>
      <w:tr>
        <w:tc>
          <w:tcPr/>
          <w:p>
            <w:pPr>
              <w:pStyle w:val="Compact"/>
            </w:pPr>
            <w:r>
              <w:t xml:space="preserve">Strategic partnerships</w:t>
            </w:r>
          </w:p>
        </w:tc>
        <w:tc>
          <w:tcPr/>
          <w:p>
            <w:pPr>
              <w:pStyle w:val="Compact"/>
            </w:pPr>
            <w:r>
              <w:t xml:space="preserve">CV + agreements</w:t>
            </w:r>
          </w:p>
        </w:tc>
        <w:tc>
          <w:tcPr/>
          <w:p>
            <w:pPr>
              <w:pStyle w:val="Compact"/>
            </w:pPr>
            <w:r>
              <w:t xml:space="preserve">Medium-High</w:t>
            </w:r>
          </w:p>
        </w:tc>
      </w:tr>
      <w:tr>
        <w:tc>
          <w:tcPr/>
          <w:p>
            <w:pPr>
              <w:pStyle w:val="Compact"/>
            </w:pPr>
            <w:r>
              <w:t xml:space="preserve">Certifications</w:t>
            </w:r>
          </w:p>
        </w:tc>
        <w:tc>
          <w:tcPr/>
          <w:p>
            <w:pPr>
              <w:pStyle w:val="Compact"/>
            </w:pPr>
            <w:r>
              <w:t xml:space="preserve">CV + LinkedIn</w:t>
            </w:r>
          </w:p>
        </w:tc>
        <w:tc>
          <w:tcPr/>
          <w:p>
            <w:pPr>
              <w:pStyle w:val="Compact"/>
            </w:pPr>
            <w:r>
              <w:t xml:space="preserve">High</w:t>
            </w:r>
          </w:p>
        </w:tc>
      </w:tr>
      <w:tr>
        <w:tc>
          <w:tcPr/>
          <w:p>
            <w:pPr>
              <w:pStyle w:val="Compact"/>
            </w:pPr>
            <w:r>
              <w:t xml:space="preserve">HISN product/architecture</w:t>
            </w:r>
          </w:p>
        </w:tc>
        <w:tc>
          <w:tcPr/>
          <w:p>
            <w:pPr>
              <w:pStyle w:val="Compact"/>
            </w:pPr>
            <w:r>
              <w:t xml:space="preserve">Repository</w:t>
            </w:r>
          </w:p>
        </w:tc>
        <w:tc>
          <w:tcPr/>
          <w:p>
            <w:pPr>
              <w:pStyle w:val="Compact"/>
            </w:pPr>
            <w:r>
              <w:t xml:space="preserve">High</w:t>
            </w:r>
          </w:p>
        </w:tc>
      </w:tr>
    </w:tbl>
    <w:p>
      <w:pPr>
        <w:pStyle w:val="Heading2"/>
      </w:pPr>
      <w:bookmarkStart w:id="24" w:name="_a712b788dfa794a0da575213fdc627c9bfd6ca9"/>
      <w:r>
        <w:t xml:space="preserve">11. Disclosure Discipline</w:t>
      </w:r>
    </w:p>
    <w:p>
      <w:pPr>
        <w:pStyle w:val="FirstParagraph"/>
      </w:pPr>
      <w:r>
        <w:rPr>
          <w:b/>
          <w:bCs/>
        </w:rPr>
        <w:t xml:space="preserve">Claims NOT to be overstated:</w:t>
      </w:r>
      <w:r>
        <w:t xml:space="preserve"> </w:t>
      </w:r>
      <w:r>
        <w:t xml:space="preserve">- Do not describe HISN as having revenue unless HISN-specific evidence exists</w:t>
      </w:r>
      <w:r>
        <w:t xml:space="preserve"> </w:t>
      </w:r>
      <w:r>
        <w:t xml:space="preserve">- Do not convert Dhamim savings into HISN revenue</w:t>
      </w:r>
      <w:r>
        <w:t xml:space="preserve"> </w:t>
      </w:r>
      <w:r>
        <w:t xml:space="preserve">- Do not describe regulatory analysis as regulatory approval</w:t>
      </w:r>
      <w:r>
        <w:t xml:space="preserve"> </w:t>
      </w:r>
      <w:r>
        <w:t xml:space="preserve">- Do not describe partnerships as signed unless agreements exist</w:t>
      </w:r>
      <w:r>
        <w:t xml:space="preserve"> </w:t>
      </w:r>
      <w:r>
        <w:t xml:space="preserve">- Do not present modeled savings as realized cash savings</w:t>
      </w:r>
      <w:r>
        <w:t xml:space="preserve"> </w:t>
      </w:r>
      <w:r>
        <w:t xml:space="preserve">- Do not claim security certification for HISN based on personal courses</w:t>
      </w:r>
    </w:p>
    <w:p>
      <w:pPr>
        <w:pStyle w:val="Heading2"/>
      </w:pPr>
      <w:bookmarkStart w:id="25" w:name="_contact"/>
      <w:r>
        <w:t xml:space="preserve">12. Contact</w:t>
      </w:r>
    </w:p>
    <w:p>
      <w:pPr>
        <w:pStyle w:val="FirstParagraph"/>
      </w:pPr>
      <w:r>
        <w:rPr>
          <w:b/>
          <w:bCs/>
        </w:rPr>
        <w:t xml:space="preserve">Mohamed Abdo</w:t>
      </w:r>
      <w:r>
        <w:t xml:space="preserve"> </w:t>
      </w:r>
      <w:r>
        <w:t xml:space="preserve">Founder &amp; CEO, HISN Platform</w:t>
      </w:r>
      <w:r>
        <w:t xml:space="preserve"> </w:t>
      </w:r>
      <w:r>
        <w:t xml:space="preserve">Riyadh, Saudi Arabia</w:t>
      </w:r>
      <w:r>
        <w:t xml:space="preserve"> </w:t>
      </w:r>
      <w:r>
        <w:t xml:space="preserve">Email: mohamed@hisn.sa (planned)</w:t>
      </w:r>
      <w:r>
        <w:t xml:space="preserve"> </w:t>
      </w:r>
      <w:r>
        <w:t xml:space="preserve">LinkedIn: /in/mohamed-abdo-17691311</w:t>
      </w:r>
    </w:p>
    <w:p>
      <w:r>
        <w:pict>
          <v:rect style="width:0;height:1.5pt" o:hralign="center" o:hrstd="t" o:hr="t"/>
        </w:pict>
      </w:r>
    </w:p>
    <w:p>
      <w:pPr>
        <w:pStyle w:val="FirstParagraph"/>
      </w:pPr>
      <w:r>
        <w:rPr>
          <w:i/>
          <w:iCs/>
        </w:rPr>
        <w:t xml:space="preserve">Founder profile is confidential and for investor/partner review only.</w:t>
      </w:r>
    </w:p>
    <w:sectPr>
      <w:headerReference w:type="default" r:id="rId9"/>
      <w:footerReference w:type="default" r:id="rId1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80" w:after="40"/>
      <w:jc w:val="center"/>
      <w:pBdr>
        <w:top w:val="single" w:sz="8" w:space="6" w:color="C9A45B"/>
      </w:pBdr>
    </w:pPr>
    <w:r>
      <w:rPr>
        <w:rFonts w:ascii="Cairo" w:hAnsi="Cairo" w:cs="Cairo"/>
        <w:b/>
        <w:color w:val="0A0A0A"/>
        <w:sz w:val="16"/>
      </w:rPr>
      <w:t xml:space="preserve">HISN FCDOS — Where Trust Begins.   حِصْن ... حيث تبدأ الثقة   |   </w:t>
    </w:r>
    <w:r>
      <w:rPr>
        <w:rFonts w:ascii="Cairo" w:hAnsi="Cairo" w:cs="Cairo"/>
        <w:b/>
        <w:color w:val="C9A45B"/>
        <w:sz w:val="16"/>
      </w:rPr>
      <w:t>Executive</w:t>
    </w:r>
    <w:r>
      <w:rPr>
        <w:rFonts w:ascii="Cairo" w:hAnsi="Cairo" w:cs="Cairo"/>
        <w:b/>
        <w:color w:val="0A0A0A"/>
        <w:sz w:val="16"/>
      </w:rPr>
      <w:t xml:space="preserve">   |   Page </w:t>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40" w:after="80"/>
      <w:jc w:val="left"/>
      <w:tabs>
        <w:tab w:val="center" w:pos="4680"/>
        <w:tab w:val="right" w:pos="9360"/>
      </w:tabs>
      <w:pBdr>
        <w:bottom w:val="single" w:sz="12" w:space="6" w:color="C9A45B"/>
      </w:pBd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822960"/>
                  </a:xfrm>
                  <a:prstGeom prst="rect"/>
                </pic:spPr>
              </pic:pic>
            </a:graphicData>
          </a:graphic>
        </wp:inline>
      </w:drawing>
    </w:r>
    <w:r>
      <w:rPr>
        <w:rFonts w:ascii="Cairo" w:hAnsi="Cairo" w:cs="Cairo"/>
        <w:sz w:val="28"/>
      </w:rPr>
      <w:tab/>
    </w:r>
    <w:r>
      <w:rPr>
        <w:rFonts w:ascii="Cairo" w:hAnsi="Cairo" w:cs="Cairo"/>
        <w:b/>
        <w:color w:val="C9A45B"/>
        <w:sz w:val="28"/>
      </w:rPr>
      <w:t>HISN FCDOS</w:t>
    </w:r>
    <w:r>
      <w:rPr>
        <w:rFonts w:ascii="Cairo" w:hAnsi="Cairo" w:cs="Cairo"/>
        <w:sz w:val="20"/>
      </w:rPr>
      <w:tab/>
    </w:r>
    <w:r>
      <w:rPr>
        <w:rFonts w:ascii="Cairo" w:hAnsi="Cairo" w:cs="Cairo"/>
        <w:b/>
        <w:color w:val="B8472D"/>
        <w:sz w:val="20"/>
      </w:rPr>
      <w:t>CONFIDENTIAL</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rPr>
      <w:rFonts w:ascii="Tajawal" w:hAnsi="Tajawal" w:cs="Tajawal"/>
    </w:rPr>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Founder Master Profile</dc:title>
  <dc:creator>HISN Platform</dc:creator>
  <cp:keywords>HISN, FCDOS, financial crime, decision operating system</cp:keywords>
  <dcterms:created xsi:type="dcterms:W3CDTF">2026-10-14T09:44:20Z</dcterms:created>
  <dcterms:modified xsi:type="dcterms:W3CDTF">2026-10-14T09:44:20Z</dcterms:modified>
  <cp:lastModifiedBy>HISN Platform</cp:lastModifiedBy>
  <dc:description/>
  <cp:category>HISN FCDOS — Investor Data Room</cp:category>
  <cp:contentStatus>Confidential</cp:contentStatus>
  <dc:identifier/>
  <dc:language>en-US</dc:language>
  <dc:subject>HISN FCDOS Investor Data Room</dc:subject>
</cp:coreProperties>
</file>

<file path=docProps/custom.xml><?xml version="1.0" encoding="utf-8"?>
<Properties xmlns="http://schemas.openxmlformats.org/officeDocument/2006/custom-properties" xmlns:vt="http://schemas.openxmlformats.org/officeDocument/2006/docPropsVTypes"/>
</file>