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9" w:name="_9f4af9314771bf8ad0e6c4fc22f1f07b40b54d4"/>
      <w:r>
        <w:t xml:space="preserve">HISN Bank-Grade Change &amp; Release Control Standard</w:t>
      </w:r>
    </w:p>
    <w:p>
      <w:pPr>
        <w:pStyle w:val="FirstParagraph"/>
      </w:pPr>
      <w:r>
        <w:rPr>
          <w:b/>
          <w:bCs/>
        </w:rPr>
        <w:t xml:space="preserve">Effective date:</w:t>
      </w:r>
      <w:r>
        <w:t xml:space="preserve"> </w:t>
      </w:r>
      <w:r>
        <w:t xml:space="preserve">2026-10-07</w:t>
      </w:r>
      <w:r>
        <w:br/>
      </w:r>
      <w:r>
        <w:rPr>
          <w:b/>
          <w:bCs/>
        </w:rPr>
        <w:t xml:space="preserve">Authority:</w:t>
      </w:r>
      <w:r>
        <w:t xml:space="preserve"> </w:t>
      </w:r>
      <w:r>
        <w:t xml:space="preserve">CTO / CISO control baseline</w:t>
      </w:r>
      <w:r>
        <w:br/>
      </w:r>
      <w:r>
        <w:rPr>
          <w:b/>
          <w:bCs/>
        </w:rPr>
        <w:t xml:space="preserve">Scope:</w:t>
      </w:r>
      <w:r>
        <w:t xml:space="preserve"> </w:t>
      </w:r>
      <w:r>
        <w:t xml:space="preserve">HISN Platform, production-supporting source, infrastructure configuration, database migrations, security controls, release workflows, and customer-impacting changes.</w:t>
      </w:r>
    </w:p>
    <w:p>
      <w:pPr>
        <w:pStyle w:val="Heading2"/>
      </w:pPr>
      <w:bookmarkStart w:id="10" w:name="_14e557c695698b4123f14d97e0c215022543661"/>
      <w:r>
        <w:t xml:space="preserve">1. Control objective</w:t>
      </w:r>
    </w:p>
    <w:p>
      <w:pPr>
        <w:pStyle w:val="FirstParagraph"/>
      </w:pPr>
      <w:r>
        <w:t xml:space="preserve">Every production change shall be identifiable, risk-classified, security-tested, approved, released through a controlled mechanism, and recoverable through a documented rollback path.</w:t>
      </w:r>
    </w:p>
    <w:p>
      <w:pPr>
        <w:pStyle w:val="BodyText"/>
      </w:pPr>
      <w:r>
        <w:t xml:space="preserve">This standard implements the engineering control boundary for SAMA-aligned change and release management. It does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represent SAMA approval or regulatory certification.</w:t>
      </w:r>
    </w:p>
    <w:p>
      <w:pPr>
        <w:pStyle w:val="Heading2"/>
      </w:pPr>
      <w:bookmarkStart w:id="11" w:name="_5df643f7db6f1500463b90800e678036323a4a1"/>
      <w:r>
        <w:t xml:space="preserve">2. Change classes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Class</w:t>
            </w:r>
          </w:p>
        </w:tc>
        <w:tc>
          <w:tcPr/>
          <w:p>
            <w:pPr>
              <w:pStyle w:val="Compact"/>
            </w:pPr>
            <w:r>
              <w:t xml:space="preserve">Examples</w:t>
            </w:r>
          </w:p>
        </w:tc>
        <w:tc>
          <w:tcPr/>
          <w:p>
            <w:pPr>
              <w:pStyle w:val="Compact"/>
            </w:pPr>
            <w:r>
              <w:t xml:space="preserve">Minimum control</w:t>
            </w:r>
          </w:p>
        </w:tc>
      </w:tr>
      <w:tr>
        <w:tc>
          <w:tcPr/>
          <w:p>
            <w:pPr>
              <w:pStyle w:val="Compact"/>
            </w:pPr>
            <w:r>
              <w:t xml:space="preserve">Standard</w:t>
            </w:r>
          </w:p>
        </w:tc>
        <w:tc>
          <w:tcPr/>
          <w:p>
            <w:pPr>
              <w:pStyle w:val="Compact"/>
            </w:pPr>
            <w:r>
              <w:t xml:space="preserve">Documentation, non-runtime wording, low-risk configuration</w:t>
            </w:r>
          </w:p>
        </w:tc>
        <w:tc>
          <w:tcPr/>
          <w:p>
            <w:pPr>
              <w:pStyle w:val="Compact"/>
            </w:pPr>
            <w:r>
              <w:t xml:space="preserve">Change record + exact-head evidence</w:t>
            </w:r>
          </w:p>
        </w:tc>
      </w:tr>
      <w:tr>
        <w:tc>
          <w:tcPr/>
          <w:p>
            <w:pPr>
              <w:pStyle w:val="Compact"/>
            </w:pPr>
            <w:r>
              <w:t xml:space="preserve">Normal</w:t>
            </w:r>
          </w:p>
        </w:tc>
        <w:tc>
          <w:tcPr/>
          <w:p>
            <w:pPr>
              <w:pStyle w:val="Compact"/>
            </w:pPr>
            <w:r>
              <w:t xml:space="preserve">Runtime, API, database, security, capability, dependency changes</w:t>
            </w:r>
          </w:p>
        </w:tc>
        <w:tc>
          <w:tcPr/>
          <w:p>
            <w:pPr>
              <w:pStyle w:val="Compact"/>
            </w:pPr>
            <w:r>
              <w:t xml:space="preserve">Change record + security evidence + business/security approval + rollback plan</w:t>
            </w:r>
          </w:p>
        </w:tc>
      </w:tr>
      <w:tr>
        <w:tc>
          <w:tcPr/>
          <w:p>
            <w:pPr>
              <w:pStyle w:val="Compact"/>
            </w:pPr>
            <w:r>
              <w:t xml:space="preserve">Major</w:t>
            </w:r>
          </w:p>
        </w:tc>
        <w:tc>
          <w:tcPr/>
          <w:p>
            <w:pPr>
              <w:pStyle w:val="Compact"/>
            </w:pPr>
            <w:r>
              <w:t xml:space="preserve">Authentication, tenant isolation, decision semantics, migrations affecting regulated data, production infrastructure</w:t>
            </w:r>
          </w:p>
        </w:tc>
        <w:tc>
          <w:tcPr/>
          <w:p>
            <w:pPr>
              <w:pStyle w:val="Compact"/>
            </w:pPr>
            <w:r>
              <w:t xml:space="preserve">Normal controls + explicit risk assessment + release authorization + post-release verification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Emergency</w:t>
            </w:r>
          </w:p>
        </w:tc>
        <w:tc>
          <w:tcPr/>
          <w:p>
            <w:pPr>
              <w:pStyle w:val="Compact"/>
            </w:pPr>
            <w:r>
              <w:t xml:space="preserve">Active incident or critical security remediation</w:t>
            </w:r>
          </w:p>
        </w:tc>
        <w:tc>
          <w:tcPr/>
          <w:p>
            <w:pPr>
              <w:pStyle w:val="Compact"/>
            </w:pPr>
            <w:r>
              <w:t xml:space="preserve">Emergency approval + controlled rollback + post-change review</w:t>
            </w:r>
          </w:p>
        </w:tc>
      </w:tr>
    </w:tbl>
    <w:p>
      <w:pPr>
        <w:pStyle w:val="Heading2"/>
      </w:pPr>
      <w:bookmarkStart w:id="12" w:name="_c0b9249f03334ea23cabd37042e8dab89246132"/>
      <w:r>
        <w:t xml:space="preserve">3. Mandatory release evidence</w:t>
      </w:r>
    </w:p>
    <w:p>
      <w:pPr>
        <w:pStyle w:val="FirstParagraph"/>
      </w:pPr>
      <w:r>
        <w:t xml:space="preserve">A production release candidate must have all of the following before admission:</w:t>
      </w:r>
    </w:p>
    <w:p>
      <w:pPr>
        <w:pStyle w:val="Compact"/>
        <w:numPr>
          <w:ilvl w:val="0"/>
          <w:numId w:val="1001"/>
        </w:numPr>
      </w:pPr>
      <w:r>
        <w:t xml:space="preserve">immutable candidate commit SHA;</w:t>
      </w:r>
    </w:p>
    <w:p>
      <w:pPr>
        <w:pStyle w:val="Compact"/>
        <w:numPr>
          <w:ilvl w:val="0"/>
          <w:numId w:val="1001"/>
        </w:numPr>
      </w:pPr>
      <w:r>
        <w:t xml:space="preserve">clean working tree;</w:t>
      </w:r>
    </w:p>
    <w:p>
      <w:pPr>
        <w:pStyle w:val="Compact"/>
        <w:numPr>
          <w:ilvl w:val="0"/>
          <w:numId w:val="1001"/>
        </w:numPr>
      </w:pPr>
      <w:r>
        <w:t xml:space="preserve">change record / identifier;</w:t>
      </w:r>
    </w:p>
    <w:p>
      <w:pPr>
        <w:pStyle w:val="Compact"/>
        <w:numPr>
          <w:ilvl w:val="0"/>
          <w:numId w:val="1001"/>
        </w:numPr>
      </w:pPr>
      <w:r>
        <w:t xml:space="preserve">risk classification and impact statement;</w:t>
      </w:r>
    </w:p>
    <w:p>
      <w:pPr>
        <w:pStyle w:val="Compact"/>
        <w:numPr>
          <w:ilvl w:val="0"/>
          <w:numId w:val="1001"/>
        </w:numPr>
      </w:pPr>
      <w:r>
        <w:t xml:space="preserve">successful exact-head Local Assurance evidence;</w:t>
      </w:r>
    </w:p>
    <w:p>
      <w:pPr>
        <w:pStyle w:val="Compact"/>
        <w:numPr>
          <w:ilvl w:val="0"/>
          <w:numId w:val="1001"/>
        </w:numPr>
      </w:pPr>
      <w:r>
        <w:t xml:space="preserve">security approval reference;</w:t>
      </w:r>
    </w:p>
    <w:p>
      <w:pPr>
        <w:pStyle w:val="Compact"/>
        <w:numPr>
          <w:ilvl w:val="0"/>
          <w:numId w:val="1001"/>
        </w:numPr>
      </w:pPr>
      <w:r>
        <w:t xml:space="preserve">business/service-owner approval reference;</w:t>
      </w:r>
    </w:p>
    <w:p>
      <w:pPr>
        <w:pStyle w:val="Compact"/>
        <w:numPr>
          <w:ilvl w:val="0"/>
          <w:numId w:val="1001"/>
        </w:numPr>
      </w:pPr>
      <w:r>
        <w:t xml:space="preserve">explicit rollback plan/reference;</w:t>
      </w:r>
    </w:p>
    <w:p>
      <w:pPr>
        <w:pStyle w:val="Compact"/>
        <w:numPr>
          <w:ilvl w:val="0"/>
          <w:numId w:val="1001"/>
        </w:numPr>
      </w:pPr>
      <w:r>
        <w:t xml:space="preserve">data-migration plan when applicable;</w:t>
      </w:r>
    </w:p>
    <w:p>
      <w:pPr>
        <w:pStyle w:val="Compact"/>
        <w:numPr>
          <w:ilvl w:val="0"/>
          <w:numId w:val="1001"/>
        </w:numPr>
      </w:pPr>
      <w:r>
        <w:t xml:space="preserve">target environment identification;</w:t>
      </w:r>
    </w:p>
    <w:p>
      <w:pPr>
        <w:pStyle w:val="Compact"/>
        <w:numPr>
          <w:ilvl w:val="0"/>
          <w:numId w:val="1001"/>
        </w:numPr>
      </w:pPr>
      <w:r>
        <w:t xml:space="preserve">release operator identity;</w:t>
      </w:r>
    </w:p>
    <w:p>
      <w:pPr>
        <w:pStyle w:val="Compact"/>
        <w:numPr>
          <w:ilvl w:val="0"/>
          <w:numId w:val="1001"/>
        </w:numPr>
      </w:pPr>
      <w:r>
        <w:t xml:space="preserve">retained release-admission manifest.</w:t>
      </w:r>
    </w:p>
    <w:p>
      <w:pPr>
        <w:pStyle w:val="FirstParagraph"/>
      </w:pPr>
      <w:r>
        <w:t xml:space="preserve">A green test suite alone is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release approval.</w:t>
      </w:r>
    </w:p>
    <w:p>
      <w:pPr>
        <w:pStyle w:val="Heading2"/>
      </w:pPr>
      <w:bookmarkStart w:id="13" w:name="_e2e6c8e4237d15bf6e01b46cf6d69d11d6fc5dc"/>
      <w:r>
        <w:t xml:space="preserve">4. Single release admission authority</w:t>
      </w:r>
    </w:p>
    <w:p>
      <w:pPr>
        <w:pStyle w:val="FirstParagraph"/>
      </w:pPr>
      <w:r>
        <w:t xml:space="preserve">The Local Assurance Runner remains the evidence authority for HISN engineering assurance.</w:t>
      </w:r>
    </w:p>
    <w:p>
      <w:pPr>
        <w:pStyle w:val="BodyText"/>
      </w:pPr>
      <w:r>
        <w:t xml:space="preserve">The executable admission control is:</w:t>
      </w:r>
    </w:p>
    <w:p>
      <w:pPr>
        <w:pStyle w:val="SourceCode"/>
      </w:pPr>
      <w:r>
        <w:rPr>
          <w:rStyle w:val="VerbatimChar"/>
        </w:rPr>
        <w:t xml:space="preserve">Change Record</w:t>
      </w:r>
      <w:r>
        <w:br/>
      </w:r>
      <w:r>
        <w:rPr>
          <w:rStyle w:val="VerbatimChar"/>
        </w:rPr>
        <w:t xml:space="preserve">  -&gt; Risk Classification</w:t>
      </w:r>
      <w:r>
        <w:br/>
      </w:r>
      <w:r>
        <w:rPr>
          <w:rStyle w:val="VerbatimChar"/>
        </w:rPr>
        <w:t xml:space="preserve">  -&gt; Security + Business Approval</w:t>
      </w:r>
      <w:r>
        <w:br/>
      </w:r>
      <w:r>
        <w:rPr>
          <w:rStyle w:val="VerbatimChar"/>
        </w:rPr>
        <w:t xml:space="preserve">  -&gt; Exact-Head Local Assurance PASS</w:t>
      </w:r>
      <w:r>
        <w:br/>
      </w:r>
      <w:r>
        <w:rPr>
          <w:rStyle w:val="VerbatimChar"/>
        </w:rPr>
        <w:t xml:space="preserve">  -&gt; Rollback Readiness</w:t>
      </w:r>
      <w:r>
        <w:br/>
      </w:r>
      <w:r>
        <w:rPr>
          <w:rStyle w:val="VerbatimChar"/>
        </w:rPr>
        <w:t xml:space="preserve">  -&gt; Release Admission Manifest</w:t>
      </w:r>
      <w:r>
        <w:br/>
      </w:r>
      <w:r>
        <w:rPr>
          <w:rStyle w:val="VerbatimChar"/>
        </w:rPr>
        <w:t xml:space="preserve">  -&gt; Production Release</w:t>
      </w:r>
      <w:r>
        <w:br/>
      </w:r>
      <w:r>
        <w:rPr>
          <w:rStyle w:val="VerbatimChar"/>
        </w:rPr>
        <w:t xml:space="preserve">  -&gt; Post-Release Verification</w:t>
      </w:r>
    </w:p>
    <w:p>
      <w:pPr>
        <w:pStyle w:val="FirstParagraph"/>
      </w:pPr>
      <w:r>
        <w:t xml:space="preserve">GitHub Actions may corroborate evidence. It cannot constitute independent approval.</w:t>
      </w:r>
    </w:p>
    <w:p>
      <w:pPr>
        <w:pStyle w:val="Heading2"/>
      </w:pPr>
      <w:bookmarkStart w:id="14" w:name="_0aa9ee9b4018df67432ad8e23c7fd300ae6876d"/>
      <w:r>
        <w:t xml:space="preserve">5. Rollout control</w:t>
      </w:r>
    </w:p>
    <w:p>
      <w:pPr>
        <w:pStyle w:val="FirstParagraph"/>
      </w:pPr>
      <w:r>
        <w:t xml:space="preserve">Before production deployment:</w:t>
      </w:r>
    </w:p>
    <w:p>
      <w:pPr>
        <w:pStyle w:val="Compact"/>
        <w:numPr>
          <w:ilvl w:val="0"/>
          <w:numId w:val="1002"/>
        </w:numPr>
      </w:pPr>
      <w:r>
        <w:t xml:space="preserve">record candidate SHA;</w:t>
      </w:r>
    </w:p>
    <w:p>
      <w:pPr>
        <w:pStyle w:val="Compact"/>
        <w:numPr>
          <w:ilvl w:val="0"/>
          <w:numId w:val="1002"/>
        </w:numPr>
      </w:pPr>
      <w:r>
        <w:t xml:space="preserve">verify the target environment;</w:t>
      </w:r>
    </w:p>
    <w:p>
      <w:pPr>
        <w:pStyle w:val="Compact"/>
        <w:numPr>
          <w:ilvl w:val="0"/>
          <w:numId w:val="1002"/>
        </w:numPr>
      </w:pPr>
      <w:r>
        <w:t xml:space="preserve">verify database migration posture;</w:t>
      </w:r>
    </w:p>
    <w:p>
      <w:pPr>
        <w:pStyle w:val="Compact"/>
        <w:numPr>
          <w:ilvl w:val="0"/>
          <w:numId w:val="1002"/>
        </w:numPr>
      </w:pPr>
      <w:r>
        <w:t xml:space="preserve">verify rollback reference;</w:t>
      </w:r>
    </w:p>
    <w:p>
      <w:pPr>
        <w:pStyle w:val="Compact"/>
        <w:numPr>
          <w:ilvl w:val="0"/>
          <w:numId w:val="1002"/>
        </w:numPr>
      </w:pPr>
      <w:r>
        <w:t xml:space="preserve">define the release window;</w:t>
      </w:r>
    </w:p>
    <w:p>
      <w:pPr>
        <w:pStyle w:val="Compact"/>
        <w:numPr>
          <w:ilvl w:val="0"/>
          <w:numId w:val="1002"/>
        </w:numPr>
      </w:pPr>
      <w:r>
        <w:t xml:space="preserve">define the verification checks;</w:t>
      </w:r>
    </w:p>
    <w:p>
      <w:pPr>
        <w:pStyle w:val="Compact"/>
        <w:numPr>
          <w:ilvl w:val="0"/>
          <w:numId w:val="1002"/>
        </w:numPr>
      </w:pPr>
      <w:r>
        <w:t xml:space="preserve">define the abort threshold.</w:t>
      </w:r>
    </w:p>
    <w:p>
      <w:pPr>
        <w:pStyle w:val="FirstParagraph"/>
      </w:pPr>
      <w:r>
        <w:t xml:space="preserve">After deployment:</w:t>
      </w:r>
    </w:p>
    <w:p>
      <w:pPr>
        <w:pStyle w:val="Compact"/>
        <w:numPr>
          <w:ilvl w:val="0"/>
          <w:numId w:val="1003"/>
        </w:numPr>
      </w:pPr>
      <w:r>
        <w:t xml:space="preserve">verify service health;</w:t>
      </w:r>
    </w:p>
    <w:p>
      <w:pPr>
        <w:pStyle w:val="Compact"/>
        <w:numPr>
          <w:ilvl w:val="0"/>
          <w:numId w:val="1003"/>
        </w:numPr>
      </w:pPr>
      <w:r>
        <w:t xml:space="preserve">verify critical API health;</w:t>
      </w:r>
    </w:p>
    <w:p>
      <w:pPr>
        <w:pStyle w:val="Compact"/>
        <w:numPr>
          <w:ilvl w:val="0"/>
          <w:numId w:val="1003"/>
        </w:numPr>
      </w:pPr>
      <w:r>
        <w:t xml:space="preserve">verify authentication/authorization boundaries;</w:t>
      </w:r>
    </w:p>
    <w:p>
      <w:pPr>
        <w:pStyle w:val="Compact"/>
        <w:numPr>
          <w:ilvl w:val="0"/>
          <w:numId w:val="1003"/>
        </w:numPr>
      </w:pPr>
      <w:r>
        <w:t xml:space="preserve">verify tenant isolation where applicable;</w:t>
      </w:r>
    </w:p>
    <w:p>
      <w:pPr>
        <w:pStyle w:val="Compact"/>
        <w:numPr>
          <w:ilvl w:val="0"/>
          <w:numId w:val="1003"/>
        </w:numPr>
      </w:pPr>
      <w:r>
        <w:t xml:space="preserve">verify decision/audit persistence;</w:t>
      </w:r>
    </w:p>
    <w:p>
      <w:pPr>
        <w:pStyle w:val="Compact"/>
        <w:numPr>
          <w:ilvl w:val="0"/>
          <w:numId w:val="1003"/>
        </w:numPr>
      </w:pPr>
      <w:r>
        <w:t xml:space="preserve">retain deployment identifiers and verification output.</w:t>
      </w:r>
    </w:p>
    <w:p>
      <w:pPr>
        <w:pStyle w:val="FirstParagraph"/>
      </w:pPr>
      <w:r>
        <w:t xml:space="preserve">For material changes, the corresponding DR environment must receive the change after successful main-site implementation, consistent with the applicable SAMA release-management requirement.</w:t>
      </w:r>
    </w:p>
    <w:p>
      <w:pPr>
        <w:pStyle w:val="Heading2"/>
      </w:pPr>
      <w:bookmarkStart w:id="15" w:name="_07befb04c4912560a413c8a38a52a84957f5173"/>
      <w:r>
        <w:t xml:space="preserve">6. Rollback control</w:t>
      </w:r>
    </w:p>
    <w:p>
      <w:pPr>
        <w:pStyle w:val="FirstParagraph"/>
      </w:pPr>
      <w:r>
        <w:t xml:space="preserve">Rollback is mandatory when a release breaches a defined abort threshold, including:</w:t>
      </w:r>
    </w:p>
    <w:p>
      <w:pPr>
        <w:pStyle w:val="Compact"/>
        <w:numPr>
          <w:ilvl w:val="0"/>
          <w:numId w:val="1004"/>
        </w:numPr>
      </w:pPr>
      <w:r>
        <w:t xml:space="preserve">authentication or authorization failure;</w:t>
      </w:r>
    </w:p>
    <w:p>
      <w:pPr>
        <w:pStyle w:val="Compact"/>
        <w:numPr>
          <w:ilvl w:val="0"/>
          <w:numId w:val="1004"/>
        </w:numPr>
      </w:pPr>
      <w:r>
        <w:t xml:space="preserve">tenant-isolation failure;</w:t>
      </w:r>
    </w:p>
    <w:p>
      <w:pPr>
        <w:pStyle w:val="Compact"/>
        <w:numPr>
          <w:ilvl w:val="0"/>
          <w:numId w:val="1004"/>
        </w:numPr>
      </w:pPr>
      <w:r>
        <w:t xml:space="preserve">decision integrity failure;</w:t>
      </w:r>
    </w:p>
    <w:p>
      <w:pPr>
        <w:pStyle w:val="Compact"/>
        <w:numPr>
          <w:ilvl w:val="0"/>
          <w:numId w:val="1004"/>
        </w:numPr>
      </w:pPr>
      <w:r>
        <w:t xml:space="preserve">evidence/audit integrity failure;</w:t>
      </w:r>
    </w:p>
    <w:p>
      <w:pPr>
        <w:pStyle w:val="Compact"/>
        <w:numPr>
          <w:ilvl w:val="0"/>
          <w:numId w:val="1004"/>
        </w:numPr>
      </w:pPr>
      <w:r>
        <w:t xml:space="preserve">data migration corruption;</w:t>
      </w:r>
    </w:p>
    <w:p>
      <w:pPr>
        <w:pStyle w:val="Compact"/>
        <w:numPr>
          <w:ilvl w:val="0"/>
          <w:numId w:val="1004"/>
        </w:numPr>
      </w:pPr>
      <w:r>
        <w:t xml:space="preserve">critical availability regression;</w:t>
      </w:r>
    </w:p>
    <w:p>
      <w:pPr>
        <w:pStyle w:val="Compact"/>
        <w:numPr>
          <w:ilvl w:val="0"/>
          <w:numId w:val="1004"/>
        </w:numPr>
      </w:pPr>
      <w:r>
        <w:t xml:space="preserve">critical security regression.</w:t>
      </w:r>
    </w:p>
    <w:p>
      <w:pPr>
        <w:pStyle w:val="FirstParagraph"/>
      </w:pPr>
      <w:r>
        <w:t xml:space="preserve">Rollback must identify:</w:t>
      </w:r>
    </w:p>
    <w:p>
      <w:pPr>
        <w:pStyle w:val="Compact"/>
        <w:numPr>
          <w:ilvl w:val="0"/>
          <w:numId w:val="1005"/>
        </w:numPr>
      </w:pPr>
      <w:r>
        <w:t xml:space="preserve">previous known-good commit/deployment;</w:t>
      </w:r>
    </w:p>
    <w:p>
      <w:pPr>
        <w:pStyle w:val="Compact"/>
        <w:numPr>
          <w:ilvl w:val="0"/>
          <w:numId w:val="1005"/>
        </w:numPr>
      </w:pPr>
      <w:r>
        <w:t xml:space="preserve">database rollback or forward-fix strategy;</w:t>
      </w:r>
    </w:p>
    <w:p>
      <w:pPr>
        <w:pStyle w:val="Compact"/>
        <w:numPr>
          <w:ilvl w:val="0"/>
          <w:numId w:val="1005"/>
        </w:numPr>
      </w:pPr>
      <w:r>
        <w:t xml:space="preserve">data integrity verification;</w:t>
      </w:r>
    </w:p>
    <w:p>
      <w:pPr>
        <w:pStyle w:val="Compact"/>
        <w:numPr>
          <w:ilvl w:val="0"/>
          <w:numId w:val="1005"/>
        </w:numPr>
      </w:pPr>
      <w:r>
        <w:t xml:space="preserve">owner authorized to execute rollback;</w:t>
      </w:r>
    </w:p>
    <w:p>
      <w:pPr>
        <w:pStyle w:val="Compact"/>
        <w:numPr>
          <w:ilvl w:val="0"/>
          <w:numId w:val="1005"/>
        </w:numPr>
      </w:pPr>
      <w:r>
        <w:t xml:space="preserve">post-rollback validation evidence.</w:t>
      </w:r>
    </w:p>
    <w:p>
      <w:pPr>
        <w:pStyle w:val="FirstParagraph"/>
      </w:pPr>
      <w:r>
        <w:t xml:space="preserve">Rollback must never be improvised by changing the production runtime without an evidence record.</w:t>
      </w:r>
    </w:p>
    <w:p>
      <w:pPr>
        <w:pStyle w:val="Heading2"/>
      </w:pPr>
      <w:bookmarkStart w:id="16" w:name="_0a05436f2f89151a90a707ed036c986b267d919"/>
      <w:r>
        <w:t xml:space="preserve">7. Segregation of duties</w:t>
      </w:r>
    </w:p>
    <w:p>
      <w:pPr>
        <w:pStyle w:val="FirstParagraph"/>
      </w:pPr>
      <w:r>
        <w:t xml:space="preserve">Where staffing permits:</w:t>
      </w:r>
    </w:p>
    <w:p>
      <w:pPr>
        <w:pStyle w:val="Compact"/>
        <w:numPr>
          <w:ilvl w:val="0"/>
          <w:numId w:val="1006"/>
        </w:numPr>
      </w:pPr>
      <w:r>
        <w:t xml:space="preserve">change requester/developer;</w:t>
      </w:r>
    </w:p>
    <w:p>
      <w:pPr>
        <w:pStyle w:val="Compact"/>
        <w:numPr>
          <w:ilvl w:val="0"/>
          <w:numId w:val="1006"/>
        </w:numPr>
      </w:pPr>
      <w:r>
        <w:t xml:space="preserve">security approver;</w:t>
      </w:r>
    </w:p>
    <w:p>
      <w:pPr>
        <w:pStyle w:val="Compact"/>
        <w:numPr>
          <w:ilvl w:val="0"/>
          <w:numId w:val="1006"/>
        </w:numPr>
      </w:pPr>
      <w:r>
        <w:t xml:space="preserve">business/service owner;</w:t>
      </w:r>
    </w:p>
    <w:p>
      <w:pPr>
        <w:pStyle w:val="Compact"/>
        <w:numPr>
          <w:ilvl w:val="0"/>
          <w:numId w:val="1006"/>
        </w:numPr>
      </w:pPr>
      <w:r>
        <w:t xml:space="preserve">release operator</w:t>
      </w:r>
    </w:p>
    <w:p>
      <w:pPr>
        <w:pStyle w:val="FirstParagraph"/>
      </w:pPr>
      <w:r>
        <w:t xml:space="preserve">should be distinct authorities.</w:t>
      </w:r>
    </w:p>
    <w:p>
      <w:pPr>
        <w:pStyle w:val="BodyText"/>
      </w:pPr>
      <w:r>
        <w:t xml:space="preserve">For a single-founder engineering organization, the absence of independent personnel is an</w:t>
      </w:r>
      <w:r>
        <w:t xml:space="preserve"> </w:t>
      </w:r>
      <w:r>
        <w:rPr>
          <w:b/>
          <w:bCs/>
        </w:rPr>
        <w:t xml:space="preserve">organizational control limitation</w:t>
      </w:r>
      <w:r>
        <w:t xml:space="preserve">, not something the repository may pretend to satisfy. The repository therefore records the control and evidence boundary explicitly until independent personnel/approval capability exists.</w:t>
      </w:r>
    </w:p>
    <w:p>
      <w:pPr>
        <w:pStyle w:val="Heading2"/>
      </w:pPr>
      <w:bookmarkStart w:id="17" w:name="_5fa77fa66c9d7ca0b06becff8c2d5560fcefcef"/>
      <w:r>
        <w:t xml:space="preserve">8. Direct-to-main exception</w:t>
      </w:r>
    </w:p>
    <w:p>
      <w:pPr>
        <w:pStyle w:val="FirstParagraph"/>
      </w:pPr>
      <w:r>
        <w:t xml:space="preserve">A direct push to</w:t>
      </w:r>
      <w:r>
        <w:t xml:space="preserve"> </w:t>
      </w:r>
      <w:r>
        <w:rPr>
          <w:rStyle w:val="VerbatimChar"/>
        </w:rPr>
        <w:t xml:space="preserve">main</w:t>
      </w:r>
      <w:r>
        <w:t xml:space="preserve"> </w:t>
      </w:r>
      <w:r>
        <w:t xml:space="preserve">without an associated pull request is a release-governance exception.</w:t>
      </w:r>
    </w:p>
    <w:p>
      <w:pPr>
        <w:pStyle w:val="BodyText"/>
      </w:pPr>
      <w:r>
        <w:t xml:space="preserve">Exact-head security assurance still runs, and provenance is retained, but the event does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become an approved release solely because the tests pass.</w:t>
      </w:r>
    </w:p>
    <w:p>
      <w:pPr>
        <w:pStyle w:val="BodyText"/>
      </w:pPr>
      <w:r>
        <w:t xml:space="preserve">The exception requires explicit human review before a regulated-production deployment.</w:t>
      </w:r>
    </w:p>
    <w:p>
      <w:pPr>
        <w:pStyle w:val="Heading2"/>
      </w:pPr>
      <w:bookmarkStart w:id="18" w:name="_ed9e22f30292aab5dc0397e848916a4724376dc"/>
      <w:r>
        <w:t xml:space="preserve">9. Emergency change</w:t>
      </w:r>
    </w:p>
    <w:p>
      <w:pPr>
        <w:pStyle w:val="FirstParagraph"/>
      </w:pPr>
      <w:r>
        <w:t xml:space="preserve">Emergency changes require:</w:t>
      </w:r>
    </w:p>
    <w:p>
      <w:pPr>
        <w:pStyle w:val="Compact"/>
        <w:numPr>
          <w:ilvl w:val="0"/>
          <w:numId w:val="1007"/>
        </w:numPr>
      </w:pPr>
      <w:r>
        <w:t xml:space="preserve">incident/change identifier;</w:t>
      </w:r>
    </w:p>
    <w:p>
      <w:pPr>
        <w:pStyle w:val="Compact"/>
        <w:numPr>
          <w:ilvl w:val="0"/>
          <w:numId w:val="1007"/>
        </w:numPr>
      </w:pPr>
      <w:r>
        <w:t xml:space="preserve">emergency justification;</w:t>
      </w:r>
    </w:p>
    <w:p>
      <w:pPr>
        <w:pStyle w:val="Compact"/>
        <w:numPr>
          <w:ilvl w:val="0"/>
          <w:numId w:val="1007"/>
        </w:numPr>
      </w:pPr>
      <w:r>
        <w:t xml:space="preserve">security/business authorization;</w:t>
      </w:r>
    </w:p>
    <w:p>
      <w:pPr>
        <w:pStyle w:val="Compact"/>
        <w:numPr>
          <w:ilvl w:val="0"/>
          <w:numId w:val="1007"/>
        </w:numPr>
      </w:pPr>
      <w:r>
        <w:t xml:space="preserve">candidate SHA;</w:t>
      </w:r>
    </w:p>
    <w:p>
      <w:pPr>
        <w:pStyle w:val="Compact"/>
        <w:numPr>
          <w:ilvl w:val="0"/>
          <w:numId w:val="1007"/>
        </w:numPr>
      </w:pPr>
      <w:r>
        <w:t xml:space="preserve">rollback reference;</w:t>
      </w:r>
    </w:p>
    <w:p>
      <w:pPr>
        <w:pStyle w:val="Compact"/>
        <w:numPr>
          <w:ilvl w:val="0"/>
          <w:numId w:val="1007"/>
        </w:numPr>
      </w:pPr>
      <w:r>
        <w:t xml:space="preserve">exact-head assurance where technically possible;</w:t>
      </w:r>
    </w:p>
    <w:p>
      <w:pPr>
        <w:pStyle w:val="Compact"/>
        <w:numPr>
          <w:ilvl w:val="0"/>
          <w:numId w:val="1007"/>
        </w:numPr>
      </w:pPr>
      <w:r>
        <w:t xml:space="preserve">post-change review;</w:t>
      </w:r>
    </w:p>
    <w:p>
      <w:pPr>
        <w:pStyle w:val="Compact"/>
        <w:numPr>
          <w:ilvl w:val="0"/>
          <w:numId w:val="1007"/>
        </w:numPr>
      </w:pPr>
      <w:r>
        <w:t xml:space="preserve">retrospective evidence reconciliation.</w:t>
      </w:r>
    </w:p>
    <w:p>
      <w:pPr>
        <w:pStyle w:val="Heading2"/>
      </w:pPr>
      <w:bookmarkStart w:id="19" w:name="_f8bb60b516fe0bd11e2f3de1c3d14bdcde43ad3"/>
      <w:r>
        <w:t xml:space="preserve">10. Evidence retention</w:t>
      </w:r>
    </w:p>
    <w:p>
      <w:pPr>
        <w:pStyle w:val="FirstParagraph"/>
      </w:pPr>
      <w:r>
        <w:t xml:space="preserve">The minimum release evidence package is:</w:t>
      </w:r>
    </w:p>
    <w:p>
      <w:pPr>
        <w:pStyle w:val="SourceCode"/>
      </w:pPr>
      <w:r>
        <w:rPr>
          <w:rStyle w:val="VerbatimChar"/>
        </w:rPr>
        <w:t xml:space="preserve">release-admission/</w:t>
      </w:r>
      <w:r>
        <w:br/>
      </w:r>
      <w:r>
        <w:rPr>
          <w:rStyle w:val="VerbatimChar"/>
        </w:rPr>
        <w:t xml:space="preserve">  release-manifest.json</w:t>
      </w:r>
      <w:r>
        <w:br/>
      </w:r>
      <w:r>
        <w:rPr>
          <w:rStyle w:val="VerbatimChar"/>
        </w:rPr>
        <w:t xml:space="preserve">  assurance-reference.txt</w:t>
      </w:r>
      <w:r>
        <w:br/>
      </w:r>
      <w:r>
        <w:rPr>
          <w:rStyle w:val="VerbatimChar"/>
        </w:rPr>
        <w:t xml:space="preserve">  approval-references.txt</w:t>
      </w:r>
      <w:r>
        <w:br/>
      </w:r>
      <w:r>
        <w:rPr>
          <w:rStyle w:val="VerbatimChar"/>
        </w:rPr>
        <w:t xml:space="preserve">  rollback-reference.txt</w:t>
      </w:r>
      <w:r>
        <w:br/>
      </w:r>
      <w:r>
        <w:rPr>
          <w:rStyle w:val="VerbatimChar"/>
        </w:rPr>
        <w:t xml:space="preserve">  verification-summary.txt</w:t>
      </w:r>
    </w:p>
    <w:p>
      <w:pPr>
        <w:pStyle w:val="FirstParagraph"/>
      </w:pPr>
      <w:r>
        <w:t xml:space="preserve">The evidence package must be SHA-bound and retained with the release record.</w:t>
      </w:r>
    </w:p>
    <w:p>
      <w:pPr>
        <w:pStyle w:val="Heading2"/>
      </w:pPr>
      <w:bookmarkStart w:id="20" w:name="_21016dfeabfea412d2a5424cb621a5f590ce453"/>
      <w:r>
        <w:t xml:space="preserve">11. Closure semantics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Layer</w:t>
            </w:r>
          </w:p>
        </w:tc>
        <w:tc>
          <w:tcPr/>
          <w:p>
            <w:pPr>
              <w:pStyle w:val="Compact"/>
            </w:pPr>
            <w:r>
              <w:t xml:space="preserve">Meaning</w:t>
            </w:r>
          </w:p>
        </w:tc>
      </w:tr>
      <w:tr>
        <w:tc>
          <w:tcPr/>
          <w:p>
            <w:pPr>
              <w:pStyle w:val="Compact"/>
            </w:pPr>
            <w:r>
              <w:t xml:space="preserve">Implemented</w:t>
            </w:r>
          </w:p>
        </w:tc>
        <w:tc>
          <w:tcPr/>
          <w:p>
            <w:pPr>
              <w:pStyle w:val="Compact"/>
            </w:pPr>
            <w:r>
              <w:t xml:space="preserve">Control exists in repository/runtime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Engineering verified</w:t>
            </w:r>
          </w:p>
        </w:tc>
        <w:tc>
          <w:tcPr/>
          <w:p>
            <w:pPr>
              <w:pStyle w:val="Compact"/>
            </w:pPr>
            <w:r>
              <w:t xml:space="preserve">Control passed executable evidence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Operationally verified</w:t>
            </w:r>
          </w:p>
        </w:tc>
        <w:tc>
          <w:tcPr/>
          <w:p>
            <w:pPr>
              <w:pStyle w:val="Compact"/>
            </w:pPr>
            <w:r>
              <w:t xml:space="preserve">Control was exercised in the target environment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Independently assured</w:t>
            </w:r>
          </w:p>
        </w:tc>
        <w:tc>
          <w:tcPr/>
          <w:p>
            <w:pPr>
              <w:pStyle w:val="Compact"/>
            </w:pPr>
            <w:r>
              <w:t xml:space="preserve">Independent party tested/evaluated it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Regulatory/customer accepted</w:t>
            </w:r>
          </w:p>
        </w:tc>
        <w:tc>
          <w:tcPr/>
          <w:p>
            <w:pPr>
              <w:pStyle w:val="Compact"/>
            </w:pPr>
            <w:r>
              <w:t xml:space="preserve">Formal customer/regulatory acceptance exists</w:t>
            </w:r>
          </w:p>
        </w:tc>
      </w:tr>
    </w:tbl>
    <w:p>
      <w:pPr>
        <w:pStyle w:val="FirstParagraph"/>
      </w:pPr>
      <w:r>
        <w:t xml:space="preserve">No lower-layer evidence may be used to claim a higher-layer closure.</w:t>
      </w:r>
    </w:p>
    <w:p>
      <w:pPr>
        <w:pStyle w:val="Heading2"/>
      </w:pPr>
      <w:bookmarkStart w:id="21" w:name="_references"/>
      <w:r>
        <w:t xml:space="preserve">12. References</w:t>
      </w:r>
    </w:p>
    <w:p>
      <w:pPr>
        <w:pStyle w:val="Compact"/>
        <w:numPr>
          <w:ilvl w:val="0"/>
          <w:numId w:val="1008"/>
        </w:numPr>
      </w:pPr>
      <w:r>
        <w:t xml:space="preserve">SAMA IT Governance Framework — System Change Governance, Change Security Requirements, Change Release Management.</w:t>
      </w:r>
    </w:p>
    <w:p>
      <w:pPr>
        <w:pStyle w:val="Compact"/>
        <w:numPr>
          <w:ilvl w:val="0"/>
          <w:numId w:val="1008"/>
        </w:numPr>
      </w:pPr>
      <w:r>
        <w:t xml:space="preserve">SAMA Cyber Security Framework — Change Management.</w:t>
      </w:r>
    </w:p>
    <w:p>
      <w:pPr>
        <w:pStyle w:val="Compact"/>
        <w:numPr>
          <w:ilvl w:val="0"/>
          <w:numId w:val="1008"/>
        </w:numPr>
      </w:pPr>
      <w:r>
        <w:t xml:space="preserve">SAMA Business Continuity Management Framework — Cyber Resilience.</w:t>
      </w:r>
    </w:p>
    <w:p>
      <w:pPr>
        <w:pStyle w:val="FirstParagraph"/>
      </w:pPr>
      <w:r>
        <w:t xml:space="preserve">This document is an internal engineering/governance standard. It is not a regulatory attestation.</w:t>
      </w:r>
    </w:p>
    <w:p>
      <w:pPr>
        <w:pStyle w:val="Heading2"/>
      </w:pPr>
      <w:bookmarkStart w:id="22" w:name="_413acf062b354b2e2b6fa2a64a70af2be106727"/>
      <w:r>
        <w:t xml:space="preserve">Release Governance Exceptions</w:t>
      </w:r>
    </w:p>
    <w:p>
      <w:pPr>
        <w:pStyle w:val="FirstParagraph"/>
      </w:pPr>
      <w:r>
        <w:rPr>
          <w:b/>
          <w:bCs/>
        </w:rPr>
        <w:t xml:space="preserve">Direct push to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main</w:t>
      </w:r>
      <w:r>
        <w:t xml:space="preserve"> </w:t>
      </w:r>
      <w:r>
        <w:t xml:space="preserve">is treated as a release-governance exception and retained as explicit provenance evidence; it is not an approved release path.</w:t>
      </w:r>
    </w:p>
    <w:sectPr>
      <w:headerReference w:type="default" r:id="rId9"/>
      <w:footerReference w:type="default" r:id="rId10"/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80" w:after="40"/>
      <w:jc w:val="center"/>
      <w:pBdr>
        <w:top w:val="single" w:sz="8" w:space="6" w:color="C9A45B"/>
      </w:pBdr>
    </w:pPr>
    <w:r>
      <w:rPr>
        <w:rFonts w:ascii="Cairo" w:hAnsi="Cairo" w:cs="Cairo"/>
        <w:b/>
        <w:color w:val="0A0A0A"/>
        <w:sz w:val="16"/>
      </w:rPr>
      <w:t xml:space="preserve">HISN FCDOS — Where Trust Begins.   حِصْن ... حيث تبدأ الثقة   |   </w:t>
    </w:r>
    <w:r>
      <w:rPr>
        <w:rFonts w:ascii="Cairo" w:hAnsi="Cairo" w:cs="Cairo"/>
        <w:b/>
        <w:color w:val="C9A45B"/>
        <w:sz w:val="16"/>
      </w:rPr>
      <w:t>Executive</w:t>
    </w:r>
    <w:r>
      <w:rPr>
        <w:rFonts w:ascii="Cairo" w:hAnsi="Cairo" w:cs="Cairo"/>
        <w:b/>
        <w:color w:val="0A0A0A"/>
        <w:sz w:val="16"/>
      </w:rPr>
      <w:t xml:space="preserve">   |   Page </w:t>
      <w:fldChar w:fldCharType="begin"/>
      <w:instrText xml:space="preserve">PAGE</w:instrText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40" w:after="80"/>
      <w:jc w:val="left"/>
      <w:tabs>
        <w:tab w:val="center" w:pos="4680"/>
        <w:tab w:val="right" w:pos="9360"/>
      </w:tabs>
      <w:pBdr>
        <w:bottom w:val="single" w:sz="12" w:space="6" w:color="C9A45B"/>
      </w:pBdr>
    </w:pPr>
    <w:r>
      <w:drawing>
        <wp:inline xmlns:a="http://schemas.openxmlformats.org/drawingml/2006/main" xmlns:pic="http://schemas.openxmlformats.org/drawingml/2006/picture">
          <wp:extent cx="822960" cy="82296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82296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iro" w:hAnsi="Cairo" w:cs="Cairo"/>
        <w:sz w:val="28"/>
      </w:rPr>
      <w:tab/>
    </w:r>
    <w:r>
      <w:rPr>
        <w:rFonts w:ascii="Cairo" w:hAnsi="Cairo" w:cs="Cairo"/>
        <w:b/>
        <w:color w:val="C9A45B"/>
        <w:sz w:val="28"/>
      </w:rPr>
      <w:t>HISN FCDOS</w:t>
    </w:r>
    <w:r>
      <w:rPr>
        <w:rFonts w:ascii="Cairo" w:hAnsi="Cairo" w:cs="Cairo"/>
        <w:sz w:val="20"/>
      </w:rPr>
      <w:tab/>
    </w:r>
    <w:r>
      <w:rPr>
        <w:rFonts w:ascii="Cairo" w:hAnsi="Cairo" w:cs="Cairo"/>
        <w:b/>
        <w:color w:val="B8472D"/>
        <w:sz w:val="20"/>
      </w:rPr>
      <w:t>CONFIDENTIAL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  <w:rPr>
      <w:rFonts w:ascii="Tajawal" w:hAnsi="Tajawal" w:cs="Tajawal"/>
    </w:rPr>
  </w:style>
  <w:style w:type="paragraph" w:styleId="BodyText">
    <w:name w:val="Body Text"/>
    <w:basedOn w:val="Normal"/>
    <w:link w:val="BodyTextChar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paragraph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firstLine="0" w:left="480" w:right="480"/>
    </w:pPr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customStyle="1" w:styleId="SectionNumber">
    <w:name w:val="Section Number"/>
    <w:basedOn w:val="BodyTextChar"/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HISN BANK GRADE RELEASE CONTROL STANDARD 2026-10-07</dc:title>
  <dc:creator>HISN Platform</dc:creator>
  <cp:keywords>HISN, FCDOS, financial crime, decision operating system</cp:keywords>
  <dcterms:created xsi:type="dcterms:W3CDTF">2026-10-13T12:57:06Z</dcterms:created>
  <dcterms:modified xsi:type="dcterms:W3CDTF">2026-10-13T12:57:06Z</dcterms:modified>
  <cp:lastModifiedBy>HISN Platform</cp:lastModifiedBy>
  <dc:description/>
  <cp:category>HISN FCDOS — Investor Data Room</cp:category>
  <cp:contentStatus>Confidential</cp:contentStatus>
  <dc:identifier/>
  <dc:language>en-US</dc:language>
  <dc:subject>HISN FCDOS Investor Data Room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