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45ddc271329e70da4b6c7d559e8a59543362088"/>
      <w:r>
        <w:t xml:space="preserve">HISN Enterprise — Current Status Baseline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2026-08-14</w:t>
      </w:r>
      <w:r>
        <w:br/>
      </w:r>
      <w:r>
        <w:rPr>
          <w:b/>
          <w:bCs/>
        </w:rPr>
        <w:t xml:space="preserve">Repository:</w:t>
      </w:r>
      <w:r>
        <w:t xml:space="preserve"> </w:t>
      </w:r>
      <w:r>
        <w:rPr>
          <w:rStyle w:val="VerbatimChar"/>
        </w:rPr>
        <w:t xml:space="preserve">Abdo-Tec/hisn-platform</w:t>
      </w:r>
      <w:r>
        <w:br/>
      </w:r>
      <w:r>
        <w:rPr>
          <w:b/>
          <w:bCs/>
        </w:rPr>
        <w:t xml:space="preserve">Baseline commit:</w:t>
      </w:r>
      <w:r>
        <w:t xml:space="preserve"> </w:t>
      </w:r>
      <w:r>
        <w:rPr>
          <w:rStyle w:val="VerbatimChar"/>
        </w:rPr>
        <w:t xml:space="preserve">0c526975aa63a839bcb4395bd501e5c5fbcf3a5e</w:t>
      </w:r>
      <w:r>
        <w:br/>
      </w:r>
      <w:r>
        <w:rPr>
          <w:b/>
          <w:bCs/>
        </w:rPr>
        <w:t xml:space="preserve">Purpose:</w:t>
      </w:r>
      <w:r>
        <w:t xml:space="preserve"> </w:t>
      </w:r>
      <w:r>
        <w:t xml:space="preserve">Investor and due-diligence source-of-truth snapshot.</w:t>
      </w:r>
    </w:p>
    <w:p>
      <w:pPr>
        <w:pStyle w:val="Heading2"/>
      </w:pPr>
      <w:bookmarkStart w:id="10" w:name="_b642edd63c8f34c4d7490a5690377a30b18137b"/>
      <w:r>
        <w:t xml:space="preserve">Executive status</w:t>
      </w:r>
    </w:p>
    <w:p>
      <w:pPr>
        <w:pStyle w:val="FirstParagraph"/>
      </w:pPr>
      <w:r>
        <w:t xml:space="preserve">HISN is an advanced pre-seed enterprise technology asset, not an idea-stage prototype. The current repository defines HISN as an</w:t>
      </w:r>
      <w:r>
        <w:t xml:space="preserve"> </w:t>
      </w:r>
      <w:r>
        <w:rPr>
          <w:b/>
          <w:bCs/>
        </w:rPr>
        <w:t xml:space="preserve">Enterprise Financial Crime Decision Operating System (FCDOS)</w:t>
      </w:r>
      <w:r>
        <w:t xml:space="preserve"> </w:t>
      </w:r>
      <w:r>
        <w:t xml:space="preserve">and positions the product as decision infrastructure for regulated financial institutions.</w:t>
      </w:r>
    </w:p>
    <w:p>
      <w:pPr>
        <w:pStyle w:val="Heading2"/>
      </w:pPr>
      <w:bookmarkStart w:id="11" w:name="_63cb975f5847030abccd521a908e63c68775192"/>
      <w:r>
        <w:t xml:space="preserve">Verified repository facts</w:t>
      </w:r>
    </w:p>
    <w:p>
      <w:pPr>
        <w:pStyle w:val="Compact"/>
        <w:numPr>
          <w:ilvl w:val="0"/>
          <w:numId w:val="1001"/>
        </w:numPr>
      </w:pPr>
      <w:r>
        <w:t xml:space="preserve">Canonical application entry point:</w:t>
      </w:r>
      <w:r>
        <w:t xml:space="preserve"> </w:t>
      </w:r>
      <w:r>
        <w:rPr>
          <w:rStyle w:val="VerbatimChar"/>
        </w:rPr>
        <w:t xml:space="preserve">main.py → src.main:app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Python: 3.12.</w:t>
      </w:r>
    </w:p>
    <w:p>
      <w:pPr>
        <w:pStyle w:val="Compact"/>
        <w:numPr>
          <w:ilvl w:val="0"/>
          <w:numId w:val="1001"/>
        </w:numPr>
      </w:pPr>
      <w:r>
        <w:t xml:space="preserve">PostgreSQL: 16.</w:t>
      </w:r>
    </w:p>
    <w:p>
      <w:pPr>
        <w:pStyle w:val="Compact"/>
        <w:numPr>
          <w:ilvl w:val="0"/>
          <w:numId w:val="1001"/>
        </w:numPr>
      </w:pPr>
      <w:r>
        <w:t xml:space="preserve">FastAPI production API foundation.</w:t>
      </w:r>
    </w:p>
    <w:p>
      <w:pPr>
        <w:pStyle w:val="Compact"/>
        <w:numPr>
          <w:ilvl w:val="0"/>
          <w:numId w:val="1001"/>
        </w:numPr>
      </w:pPr>
      <w:r>
        <w:t xml:space="preserve">Docker development environment.</w:t>
      </w:r>
    </w:p>
    <w:p>
      <w:pPr>
        <w:pStyle w:val="Compact"/>
        <w:numPr>
          <w:ilvl w:val="0"/>
          <w:numId w:val="1001"/>
        </w:numPr>
      </w:pPr>
      <w:r>
        <w:t xml:space="preserve">GitHub Actions CI.</w:t>
      </w:r>
    </w:p>
    <w:p>
      <w:pPr>
        <w:pStyle w:val="Compact"/>
        <w:numPr>
          <w:ilvl w:val="0"/>
          <w:numId w:val="1001"/>
        </w:numPr>
      </w:pPr>
      <w:r>
        <w:t xml:space="preserve">Repository README baseline:</w:t>
      </w:r>
      <w:r>
        <w:t xml:space="preserve"> </w:t>
      </w:r>
      <w:r>
        <w:rPr>
          <w:b/>
          <w:bCs/>
        </w:rPr>
        <w:t xml:space="preserve">165 automated tests passed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Modular-monolith architecture with explicit domain boundaries.</w:t>
      </w:r>
    </w:p>
    <w:p>
      <w:pPr>
        <w:pStyle w:val="Compact"/>
        <w:numPr>
          <w:ilvl w:val="0"/>
          <w:numId w:val="1001"/>
        </w:numPr>
      </w:pPr>
      <w:r>
        <w:t xml:space="preserve">Canonical decision path and governed decision runtime.</w:t>
      </w:r>
    </w:p>
    <w:p>
      <w:pPr>
        <w:pStyle w:val="Compact"/>
        <w:numPr>
          <w:ilvl w:val="0"/>
          <w:numId w:val="1001"/>
        </w:numPr>
      </w:pPr>
      <w:r>
        <w:t xml:space="preserve">Evidence, audit, policy, rules, risk and human-review concepts are represented in the architecture.</w:t>
      </w:r>
    </w:p>
    <w:p>
      <w:pPr>
        <w:pStyle w:val="Compact"/>
        <w:numPr>
          <w:ilvl w:val="0"/>
          <w:numId w:val="1001"/>
        </w:numPr>
      </w:pPr>
      <w:r>
        <w:t xml:space="preserve">Tenant isolation/RLS hardening was actively implemented in the latest commits preceding this baseline.</w:t>
      </w:r>
    </w:p>
    <w:p>
      <w:pPr>
        <w:pStyle w:val="Compact"/>
        <w:numPr>
          <w:ilvl w:val="0"/>
          <w:numId w:val="1001"/>
        </w:numPr>
      </w:pPr>
      <w:r>
        <w:t xml:space="preserve">Canonical architecture topology was established as an SSOT and protected by tests in the latest commits.</w:t>
      </w:r>
    </w:p>
    <w:p>
      <w:pPr>
        <w:pStyle w:val="Compact"/>
        <w:numPr>
          <w:ilvl w:val="0"/>
          <w:numId w:val="1001"/>
        </w:numPr>
      </w:pPr>
      <w:r>
        <w:t xml:space="preserve">Proprietary IP notice is present.</w:t>
      </w:r>
    </w:p>
    <w:p>
      <w:pPr>
        <w:pStyle w:val="Compact"/>
        <w:numPr>
          <w:ilvl w:val="0"/>
          <w:numId w:val="1001"/>
        </w:numPr>
      </w:pPr>
      <w:r>
        <w:t xml:space="preserve">Security posture is documented, with an explicit statement that the document is not a certification, regulatory attestation, penetration-test report, or production-compliance guarantee.</w:t>
      </w:r>
    </w:p>
    <w:p>
      <w:pPr>
        <w:pStyle w:val="Heading2"/>
      </w:pPr>
      <w:bookmarkStart w:id="12" w:name="_274bd592ab36edd04db618ff5c71d6bf177636c"/>
      <w:r>
        <w:t xml:space="preserve">Latest engineering movement</w:t>
      </w:r>
    </w:p>
    <w:p>
      <w:pPr>
        <w:pStyle w:val="FirstParagraph"/>
      </w:pPr>
      <w:r>
        <w:t xml:space="preserve">The latest repository commits immediately before this baseline include: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security: make tenant RLS coverage a migration invariant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docs: make canonical architecture topology the SSOT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test: enforce canonical SSOT architecture topology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arch: establish canonical SSOT topology registry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security: close tenant RLS coverage boundary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test: prove tenant RLS catalog coverage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security: harden tenant RLS control plane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security: enforce canonical tenant boundary with PostgreSQL RLS</w:t>
      </w:r>
    </w:p>
    <w:p>
      <w:pPr>
        <w:pStyle w:val="FirstParagraph"/>
      </w:pPr>
      <w:r>
        <w:t xml:space="preserve">These changes materially strengthen the technical due-diligence position because they move tenant isolation and architecture ownership from documentation-only assertions toward migration/test invariants.</w:t>
      </w:r>
    </w:p>
    <w:p>
      <w:pPr>
        <w:pStyle w:val="Heading2"/>
      </w:pPr>
      <w:bookmarkStart w:id="13" w:name="_cb715ba89a51fd92a6df4a900b8c6ba262abe03"/>
      <w:r>
        <w:t xml:space="preserve">Important status distinction</w:t>
      </w:r>
    </w:p>
    <w:p>
      <w:pPr>
        <w:pStyle w:val="FirstParagraph"/>
      </w:pPr>
      <w:r>
        <w:t xml:space="preserve">The repository README currently reports 165 tests passed. No later test-count artifact is committed on the baseline commit. Therefore this investor baseline must</w:t>
      </w:r>
      <w:r>
        <w:t xml:space="preserve"> </w:t>
      </w:r>
      <w:r>
        <w:rPr>
          <w:b/>
          <w:bCs/>
        </w:rPr>
        <w:t xml:space="preserve">not claim a higher test count until the newer run is committed or otherwise independently evidenced</w:t>
      </w:r>
      <w:r>
        <w:t xml:space="preserve">.</w:t>
      </w:r>
    </w:p>
    <w:p>
      <w:pPr>
        <w:pStyle w:val="BodyText"/>
      </w:pPr>
      <w:r>
        <w:t xml:space="preserve">This is intentional: investor documentation must distinguish between: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Verified in repository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Verified in local working tree but not committed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Designed/documented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Planned</w:t>
      </w:r>
    </w:p>
    <w:p>
      <w:pPr>
        <w:pStyle w:val="Heading2"/>
      </w:pPr>
      <w:bookmarkStart w:id="14" w:name="_deb98439323214631c31b2fe096713570513405"/>
      <w:r>
        <w:t xml:space="preserve">Commercial status</w:t>
      </w:r>
    </w:p>
    <w:p>
      <w:pPr>
        <w:pStyle w:val="FirstParagraph"/>
      </w:pPr>
      <w:r>
        <w:t xml:space="preserve">The valuation model currently treats the following as unverified unless separately evidenced in the data room:</w:t>
      </w:r>
    </w:p>
    <w:p>
      <w:pPr>
        <w:pStyle w:val="Compact"/>
        <w:numPr>
          <w:ilvl w:val="0"/>
          <w:numId w:val="1004"/>
        </w:numPr>
      </w:pPr>
      <w:r>
        <w:t xml:space="preserve">recurring revenue;</w:t>
      </w:r>
    </w:p>
    <w:p>
      <w:pPr>
        <w:pStyle w:val="Compact"/>
        <w:numPr>
          <w:ilvl w:val="0"/>
          <w:numId w:val="1004"/>
        </w:numPr>
      </w:pPr>
      <w:r>
        <w:t xml:space="preserve">paid institutional customers;</w:t>
      </w:r>
    </w:p>
    <w:p>
      <w:pPr>
        <w:pStyle w:val="Compact"/>
        <w:numPr>
          <w:ilvl w:val="0"/>
          <w:numId w:val="1004"/>
        </w:numPr>
      </w:pPr>
      <w:r>
        <w:t xml:space="preserve">production bank deployment;</w:t>
      </w:r>
    </w:p>
    <w:p>
      <w:pPr>
        <w:pStyle w:val="Compact"/>
        <w:numPr>
          <w:ilvl w:val="0"/>
          <w:numId w:val="1004"/>
        </w:numPr>
      </w:pPr>
      <w:r>
        <w:t xml:space="preserve">customer case studies;</w:t>
      </w:r>
    </w:p>
    <w:p>
      <w:pPr>
        <w:pStyle w:val="Compact"/>
        <w:numPr>
          <w:ilvl w:val="0"/>
          <w:numId w:val="1004"/>
        </w:numPr>
      </w:pPr>
      <w:r>
        <w:t xml:space="preserve">repeatable enterprise sales cycle;</w:t>
      </w:r>
    </w:p>
    <w:p>
      <w:pPr>
        <w:pStyle w:val="Compact"/>
        <w:numPr>
          <w:ilvl w:val="0"/>
          <w:numId w:val="1004"/>
        </w:numPr>
      </w:pPr>
      <w:r>
        <w:t xml:space="preserve">CAC/LTV;</w:t>
      </w:r>
    </w:p>
    <w:p>
      <w:pPr>
        <w:pStyle w:val="Compact"/>
        <w:numPr>
          <w:ilvl w:val="0"/>
          <w:numId w:val="1004"/>
        </w:numPr>
      </w:pPr>
      <w:r>
        <w:t xml:space="preserve">retention/expansion metrics;</w:t>
      </w:r>
    </w:p>
    <w:p>
      <w:pPr>
        <w:pStyle w:val="Compact"/>
        <w:numPr>
          <w:ilvl w:val="0"/>
          <w:numId w:val="1004"/>
        </w:numPr>
      </w:pPr>
      <w:r>
        <w:t xml:space="preserve">regulatory certification or approval.</w:t>
      </w:r>
    </w:p>
    <w:p>
      <w:pPr>
        <w:pStyle w:val="Heading2"/>
      </w:pPr>
      <w:bookmarkStart w:id="15" w:name="_c5c8dc8e36fa1c2c23a254f4f62e9144c457eb8"/>
      <w:r>
        <w:t xml:space="preserve">Investor interpretation</w:t>
      </w:r>
    </w:p>
    <w:p>
      <w:pPr>
        <w:pStyle w:val="FirstParagraph"/>
      </w:pPr>
      <w:r>
        <w:rPr>
          <w:b/>
          <w:bCs/>
        </w:rPr>
        <w:t xml:space="preserve">Technology readiness:</w:t>
      </w:r>
      <w:r>
        <w:t xml:space="preserve"> </w:t>
      </w:r>
      <w:r>
        <w:t xml:space="preserve">strong.</w:t>
      </w:r>
      <w:r>
        <w:br/>
      </w:r>
      <w:r>
        <w:rPr>
          <w:b/>
          <w:bCs/>
        </w:rPr>
        <w:t xml:space="preserve">Commercial validation:</w:t>
      </w:r>
      <w:r>
        <w:t xml:space="preserve"> </w:t>
      </w:r>
      <w:r>
        <w:t xml:space="preserve">early.</w:t>
      </w:r>
      <w:r>
        <w:br/>
      </w:r>
      <w:r>
        <w:rPr>
          <w:b/>
          <w:bCs/>
        </w:rPr>
        <w:t xml:space="preserve">Principal valuation discount:</w:t>
      </w:r>
      <w:r>
        <w:t xml:space="preserve"> </w:t>
      </w:r>
      <w:r>
        <w:t xml:space="preserve">commercial execution and market validation, not core architecture.</w:t>
      </w:r>
    </w:p>
    <w:p>
      <w:pPr>
        <w:pStyle w:val="Heading2"/>
      </w:pPr>
      <w:bookmarkStart w:id="16" w:name="_46271459bd441e8f87ae6814a2aa5abea814bfa"/>
      <w:r>
        <w:t xml:space="preserve">Documentation reconciliation requirement</w:t>
      </w:r>
    </w:p>
    <w:p>
      <w:pPr>
        <w:pStyle w:val="FirstParagraph"/>
      </w:pPr>
      <w:r>
        <w:rPr>
          <w:rStyle w:val="VerbatimChar"/>
        </w:rPr>
        <w:t xml:space="preserve">docs/ROADMAP.md</w:t>
      </w:r>
      <w:r>
        <w:t xml:space="preserve"> </w:t>
      </w:r>
      <w:r>
        <w:t xml:space="preserve">contains an older status model that describes several capabilities as upcoming/future. It must not be used as the sole current-status source in an investor data room. This baseline is the authoritative dated snapshot for the valuation work until the roadmap is reconciled with the canonical repository state.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Executive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CURRENT STATUS BASELINE 2026-08-14</dc:title>
  <dc:creator>HISN Platform</dc:creator>
  <cp:keywords>HISN, FCDOS, financial crime, decision operating system</cp:keywords>
  <dcterms:created xsi:type="dcterms:W3CDTF">2026-10-13T12:57:08Z</dcterms:created>
  <dcterms:modified xsi:type="dcterms:W3CDTF">2026-10-13T12:57:08Z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