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64649f59f0b592147f07ff90a7f6b57d1437e97"/>
      <w:r>
        <w:t xml:space="preserve">HISN Executive Control Report — 2026-09-02</w:t>
      </w:r>
    </w:p>
    <w:p>
      <w:pPr>
        <w:pStyle w:val="FirstParagraph"/>
      </w:pPr>
      <w:r>
        <w:rPr>
          <w:b/>
          <w:bCs/>
        </w:rPr>
        <w:t xml:space="preserve">Release line:</w:t>
      </w:r>
      <w:r>
        <w:t xml:space="preserve"> </w:t>
      </w:r>
      <w:r>
        <w:t xml:space="preserve">HISN 10.0.1</w:t>
      </w:r>
      <w:r>
        <w:br/>
      </w:r>
      <w:r>
        <w:rPr>
          <w:b/>
          <w:bCs/>
        </w:rPr>
        <w:t xml:space="preserve">Control posture:</w:t>
      </w:r>
      <w:r>
        <w:t xml:space="preserve"> </w:t>
      </w:r>
      <w:r>
        <w:t xml:space="preserve">Strong release-candidate engineering foundation; security and target-operational gates remain open.</w:t>
      </w:r>
      <w:r>
        <w:br/>
      </w:r>
      <w:r>
        <w:rPr>
          <w:b/>
          <w:bCs/>
        </w:rPr>
        <w:t xml:space="preserve">Purpose:</w:t>
      </w:r>
      <w:r>
        <w:t xml:space="preserve"> </w:t>
      </w:r>
      <w:r>
        <w:t xml:space="preserve">Single executive handoff across CTO, SAMA/Compliance, CCO, CRO/CRC, CMO and MRLO perspectives.</w:t>
      </w:r>
    </w:p>
    <w:p>
      <w:pPr>
        <w:pStyle w:val="Heading2"/>
      </w:pPr>
      <w:bookmarkStart w:id="10" w:name="_5b1970bbff01b802259417cca4f753e9159ba3c"/>
      <w:r>
        <w:t xml:space="preserve">Executive decision</w:t>
      </w:r>
    </w:p>
    <w:p>
      <w:pPr>
        <w:pStyle w:val="FirstParagraph"/>
      </w:pPr>
      <w:r>
        <w:t xml:space="preserve">HISN is</w:t>
      </w:r>
      <w:r>
        <w:t xml:space="preserve"> </w:t>
      </w:r>
      <w:r>
        <w:rPr>
          <w:b/>
          <w:bCs/>
        </w:rPr>
        <w:t xml:space="preserve">not production-certified</w:t>
      </w:r>
      <w:r>
        <w:t xml:space="preserve"> </w:t>
      </w:r>
      <w:r>
        <w:t xml:space="preserve">and must not be represented as SAMA-certified, independently security-assessed, or production-ready solely from local evidence. The engineering foundation is materially strong, and the pilot-facing frontend integration boundary has now been strengthened, but the security dependency gate and several target-environment controls remain open.</w:t>
      </w:r>
    </w:p>
    <w:p>
      <w:pPr>
        <w:pStyle w:val="Heading2"/>
      </w:pPr>
      <w:bookmarkStart w:id="11" w:name="_dda257d2ac1eb10f3afebfbfff62223f1b5260a"/>
      <w:r>
        <w:t xml:space="preserve">Verified closure / current implementation foundation</w:t>
      </w:r>
    </w:p>
    <w:p>
      <w:pPr>
        <w:pStyle w:val="Compact"/>
        <w:numPr>
          <w:ilvl w:val="0"/>
          <w:numId w:val="1001"/>
        </w:numPr>
      </w:pPr>
      <w:r>
        <w:t xml:space="preserve">Backend latest recorded local regression: 310/310 PASS.</w:t>
      </w:r>
    </w:p>
    <w:p>
      <w:pPr>
        <w:pStyle w:val="Compact"/>
        <w:numPr>
          <w:ilvl w:val="0"/>
          <w:numId w:val="1001"/>
        </w:numPr>
      </w:pPr>
      <w:r>
        <w:t xml:space="preserve">Focused auth/API tests: 3/3 PASS.</w:t>
      </w:r>
    </w:p>
    <w:p>
      <w:pPr>
        <w:pStyle w:val="Compact"/>
        <w:numPr>
          <w:ilvl w:val="0"/>
          <w:numId w:val="1001"/>
        </w:numPr>
      </w:pPr>
      <w:r>
        <w:t xml:space="preserve">Dedicated security regression: 39/39 PASS in two consecutive prior evidence runs.</w:t>
      </w:r>
    </w:p>
    <w:p>
      <w:pPr>
        <w:pStyle w:val="Compact"/>
        <w:numPr>
          <w:ilvl w:val="0"/>
          <w:numId w:val="1001"/>
        </w:numPr>
      </w:pPr>
      <w:r>
        <w:t xml:space="preserve">Backend target evidence: PASS / 0 failed checks in the latest recorded target collector run.</w:t>
      </w:r>
    </w:p>
    <w:p>
      <w:pPr>
        <w:pStyle w:val="Compact"/>
        <w:numPr>
          <w:ilvl w:val="0"/>
          <w:numId w:val="1001"/>
        </w:numPr>
      </w:pPr>
      <w:r>
        <w:t xml:space="preserve">Six active canonical runtime engines: AML, Fraud, Graph, KYB, KYC, Sanctions.</w:t>
      </w:r>
    </w:p>
    <w:p>
      <w:pPr>
        <w:pStyle w:val="Compact"/>
        <w:numPr>
          <w:ilvl w:val="0"/>
          <w:numId w:val="1001"/>
        </w:numPr>
      </w:pPr>
      <w:r>
        <w:t xml:space="preserve">Frontend Platform SDK boundary exists with contract version 1.0.0 for login, dashboard, runtime catalog, transaction/evidence workspace, decision evaluation/details and audit verification.</w:t>
      </w:r>
    </w:p>
    <w:p>
      <w:pPr>
        <w:pStyle w:val="Compact"/>
        <w:numPr>
          <w:ilvl w:val="0"/>
          <w:numId w:val="1001"/>
        </w:numPr>
      </w:pPr>
      <w:r>
        <w:t xml:space="preserve">Protected runtime engine catalog endpoint exists at</w:t>
      </w:r>
      <w:r>
        <w:t xml:space="preserve"> </w:t>
      </w:r>
      <w:r>
        <w:rPr>
          <w:rStyle w:val="VerbatimChar"/>
        </w:rPr>
        <w:t xml:space="preserve">/api/runtime/engines</w:t>
      </w:r>
      <w:r>
        <w:t xml:space="preserve">; it reads the canonical application-scoped</w:t>
      </w:r>
      <w:r>
        <w:t xml:space="preserve"> </w:t>
      </w:r>
      <w:r>
        <w:rPr>
          <w:rStyle w:val="VerbatimChar"/>
        </w:rPr>
        <w:t xml:space="preserve">EngineRegistry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Frontend executive dashboard surfaces runtime engines through the platform catalog rather than inferring activation from source folders.</w:t>
      </w:r>
    </w:p>
    <w:p>
      <w:pPr>
        <w:pStyle w:val="Compact"/>
        <w:numPr>
          <w:ilvl w:val="0"/>
          <w:numId w:val="1001"/>
        </w:numPr>
      </w:pPr>
      <w:r>
        <w:t xml:space="preserve">Least-privilege</w:t>
      </w:r>
      <w:r>
        <w:t xml:space="preserve"> </w:t>
      </w:r>
      <w:r>
        <w:rPr>
          <w:rStyle w:val="VerbatimChar"/>
        </w:rPr>
        <w:t xml:space="preserve">demo_viewer</w:t>
      </w:r>
      <w:r>
        <w:t xml:space="preserve"> </w:t>
      </w:r>
      <w:r>
        <w:t xml:space="preserve">access model exists for investor demonstrations and excludes decision execution, case mutation, SAR preparation, tenant/IAM/entitlement administration.</w:t>
      </w:r>
    </w:p>
    <w:p>
      <w:pPr>
        <w:pStyle w:val="Compact"/>
        <w:numPr>
          <w:ilvl w:val="0"/>
          <w:numId w:val="1001"/>
        </w:numPr>
      </w:pPr>
      <w:r>
        <w:t xml:space="preserve">Controlled investor-demo provisioning script exists and uses a dedicated demo tenant; plaintext passwords are not stored in source control.</w:t>
      </w:r>
    </w:p>
    <w:p>
      <w:pPr>
        <w:pStyle w:val="Compact"/>
        <w:numPr>
          <w:ilvl w:val="0"/>
          <w:numId w:val="1001"/>
        </w:numPr>
      </w:pPr>
      <w:r>
        <w:t xml:space="preserve">Frontend decision reports now read historical decisions by canonical</w:t>
      </w:r>
      <w:r>
        <w:t xml:space="preserve"> </w:t>
      </w:r>
      <w:r>
        <w:rPr>
          <w:rStyle w:val="VerbatimChar"/>
        </w:rPr>
        <w:t xml:space="preserve">decision_id</w:t>
      </w:r>
      <w:r>
        <w:t xml:space="preserve"> </w:t>
      </w:r>
      <w:r>
        <w:t xml:space="preserve">from the platform rather than relying on browser session state for the primary report truth.</w:t>
      </w:r>
    </w:p>
    <w:p>
      <w:pPr>
        <w:pStyle w:val="Compact"/>
        <w:numPr>
          <w:ilvl w:val="0"/>
          <w:numId w:val="1001"/>
        </w:numPr>
      </w:pPr>
      <w:r>
        <w:t xml:space="preserve">Existing clean-install migration, migration contract, backup/restore rehearsal and database rollback rehearsal remain previously verified controls and are not reopened without material change.</w:t>
      </w:r>
    </w:p>
    <w:p>
      <w:pPr>
        <w:pStyle w:val="Heading2"/>
      </w:pPr>
      <w:bookmarkStart w:id="12" w:name="_b0ccec7ce16bb3edfab17b1a39b53c90dc3b1e7"/>
      <w:r>
        <w:t xml:space="preserve">Security — BLOCKING</w:t>
      </w:r>
    </w:p>
    <w:p>
      <w:pPr>
        <w:pStyle w:val="FirstParagraph"/>
      </w:pPr>
      <w:r>
        <w:t xml:space="preserve">The latest recorded</w:t>
      </w:r>
      <w:r>
        <w:t xml:space="preserve"> </w:t>
      </w:r>
      <w:r>
        <w:rPr>
          <w:rStyle w:val="VerbatimChar"/>
        </w:rPr>
        <w:t xml:space="preserve">pip-audit -r requirements.txt</w:t>
      </w:r>
      <w:r>
        <w:t xml:space="preserve"> </w:t>
      </w:r>
      <w:r>
        <w:t xml:space="preserve">evidence reports 36 known vulnerabilities across 7 packages. A fresh audit must be run against the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resolved dependency graph before the security gate can close.</w:t>
      </w:r>
    </w:p>
    <w:p>
      <w:pPr>
        <w:pStyle w:val="BodyText"/>
      </w:pPr>
      <w:r>
        <w:t xml:space="preserve">The current authentication source observed 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uses</w:t>
      </w:r>
      <w:r>
        <w:t xml:space="preserve"> </w:t>
      </w:r>
      <w:r>
        <w:rPr>
          <w:b/>
          <w:bCs/>
        </w:rPr>
        <w:t xml:space="preserve">PyJWT + bcrypt</w:t>
      </w:r>
      <w:r>
        <w:t xml:space="preserve">. Older documentation describing</w:t>
      </w:r>
      <w:r>
        <w:t xml:space="preserve"> </w:t>
      </w:r>
      <w:r>
        <w:rPr>
          <w:rStyle w:val="VerbatimChar"/>
        </w:rPr>
        <w:t xml:space="preserve">python-jose</w:t>
      </w:r>
      <w:r>
        <w:t xml:space="preserve"> </w:t>
      </w:r>
      <w:r>
        <w:t xml:space="preserve">is superseded and should not be used as current implementation truth. Dependency remediation must be based on the current source and the current resolved graph.</w:t>
      </w:r>
    </w:p>
    <w:p>
      <w:pPr>
        <w:pStyle w:val="BodyText"/>
      </w:pPr>
      <w:r>
        <w:t xml:space="preserve">Required approach:</w:t>
      </w:r>
    </w:p>
    <w:p>
      <w:pPr>
        <w:pStyle w:val="Compact"/>
        <w:numPr>
          <w:ilvl w:val="0"/>
          <w:numId w:val="1002"/>
        </w:numPr>
      </w:pPr>
      <w:r>
        <w:t xml:space="preserve">Resolve the dependency graph as a compatibility unit.</w:t>
      </w:r>
    </w:p>
    <w:p>
      <w:pPr>
        <w:pStyle w:val="Compact"/>
        <w:numPr>
          <w:ilvl w:val="0"/>
          <w:numId w:val="1002"/>
        </w:numPr>
      </w:pPr>
      <w:r>
        <w:t xml:space="preserve">Confirm current JWT implementation and behavioral compatibility through auth tests.</w:t>
      </w:r>
    </w:p>
    <w:p>
      <w:pPr>
        <w:pStyle w:val="Compact"/>
        <w:numPr>
          <w:ilvl w:val="0"/>
          <w:numId w:val="1002"/>
        </w:numPr>
      </w:pPr>
      <w:r>
        <w:t xml:space="preserve">Remove obsolete/vulnerable packages only where the resolved graph proves they are unnecessary and regression remains green.</w:t>
      </w:r>
    </w:p>
    <w:p>
      <w:pPr>
        <w:pStyle w:val="Compact"/>
        <w:numPr>
          <w:ilvl w:val="0"/>
          <w:numId w:val="1002"/>
        </w:numPr>
      </w:pPr>
      <w:r>
        <w:t xml:space="preserve">Regenerate the dependency lock representation from a clean environment.</w:t>
      </w:r>
    </w:p>
    <w:p>
      <w:pPr>
        <w:pStyle w:val="Compact"/>
        <w:numPr>
          <w:ilvl w:val="0"/>
          <w:numId w:val="1002"/>
        </w:numPr>
      </w:pPr>
      <w:r>
        <w:t xml:space="preserve">Re-run full regression, dedicated security regression,</w:t>
      </w:r>
      <w:r>
        <w:t xml:space="preserve"> </w:t>
      </w:r>
      <w:r>
        <w:rPr>
          <w:rStyle w:val="VerbatimChar"/>
        </w:rPr>
        <w:t xml:space="preserve">pip-audit</w:t>
      </w:r>
      <w:r>
        <w:t xml:space="preserve">, and target evidence.</w:t>
      </w:r>
    </w:p>
    <w:p>
      <w:pPr>
        <w:pStyle w:val="FirstParagraph"/>
      </w:pPr>
      <w:r>
        <w:t xml:space="preserve">No ignore flags, vulnerability suppression, blanket upgrade, test weakening, or fake control is acceptable.</w:t>
      </w:r>
    </w:p>
    <w:p>
      <w:pPr>
        <w:pStyle w:val="Heading2"/>
      </w:pPr>
      <w:bookmarkStart w:id="13" w:name="_5ba92b50fd393ebf7b4f7564d8e52b00a4a9a84"/>
      <w:r>
        <w:t xml:space="preserve">Target operational controls — OPEN</w:t>
      </w:r>
    </w:p>
    <w:p>
      <w:pPr>
        <w:pStyle w:val="Compact"/>
        <w:numPr>
          <w:ilvl w:val="0"/>
          <w:numId w:val="1003"/>
        </w:numPr>
      </w:pPr>
      <w:r>
        <w:t xml:space="preserve">Target observability: logs, metrics, traces and correlation/decision lineage.</w:t>
      </w:r>
    </w:p>
    <w:p>
      <w:pPr>
        <w:pStyle w:val="Compact"/>
        <w:numPr>
          <w:ilvl w:val="0"/>
          <w:numId w:val="1003"/>
        </w:numPr>
      </w:pPr>
      <w:r>
        <w:t xml:space="preserve">Application artifact rollback in the target environment.</w:t>
      </w:r>
    </w:p>
    <w:p>
      <w:pPr>
        <w:pStyle w:val="Compact"/>
        <w:numPr>
          <w:ilvl w:val="0"/>
          <w:numId w:val="1003"/>
        </w:numPr>
      </w:pPr>
      <w:r>
        <w:t xml:space="preserve">Target performance baseline.</w:t>
      </w:r>
    </w:p>
    <w:p>
      <w:pPr>
        <w:pStyle w:val="Compact"/>
        <w:numPr>
          <w:ilvl w:val="0"/>
          <w:numId w:val="1003"/>
        </w:numPr>
      </w:pPr>
      <w:r>
        <w:t xml:space="preserve">Cloud RPO/RTO and production restore evidence.</w:t>
      </w:r>
    </w:p>
    <w:p>
      <w:pPr>
        <w:pStyle w:val="Compact"/>
        <w:numPr>
          <w:ilvl w:val="0"/>
          <w:numId w:val="1003"/>
        </w:numPr>
      </w:pPr>
      <w:r>
        <w:t xml:space="preserve">Browser-level pilot acceptance against the</w:t>
      </w:r>
      <w:r>
        <w:t xml:space="preserve"> </w:t>
      </w:r>
      <w:r>
        <w:rPr>
          <w:b/>
          <w:bCs/>
        </w:rPr>
        <w:t xml:space="preserve">latest</w:t>
      </w:r>
      <w:r>
        <w:t xml:space="preserve"> </w:t>
      </w:r>
      <w:r>
        <w:t xml:space="preserve">target deployment.</w:t>
      </w:r>
    </w:p>
    <w:p>
      <w:pPr>
        <w:pStyle w:val="Compact"/>
        <w:numPr>
          <w:ilvl w:val="0"/>
          <w:numId w:val="1003"/>
        </w:numPr>
      </w:pPr>
      <w:r>
        <w:t xml:space="preserve">Independent security assessment appropriate to the deployment/risk posture.</w:t>
      </w:r>
    </w:p>
    <w:p>
      <w:pPr>
        <w:pStyle w:val="Compact"/>
        <w:numPr>
          <w:ilvl w:val="0"/>
          <w:numId w:val="1003"/>
        </w:numPr>
      </w:pPr>
      <w:r>
        <w:t xml:space="preserve">CI release evidence where CI is part of the certification path.</w:t>
      </w:r>
    </w:p>
    <w:p>
      <w:pPr>
        <w:pStyle w:val="Compact"/>
        <w:numPr>
          <w:ilvl w:val="0"/>
          <w:numId w:val="1003"/>
        </w:numPr>
      </w:pPr>
      <w:r>
        <w:t xml:space="preserve">End-to-end regulatory submission workflow evidence, including authority-specific payload validation, approval segregation and submission/acknowledgement handling.</w:t>
      </w:r>
    </w:p>
    <w:p>
      <w:pPr>
        <w:pStyle w:val="Compact"/>
        <w:numPr>
          <w:ilvl w:val="0"/>
          <w:numId w:val="1003"/>
        </w:numPr>
      </w:pPr>
      <w:r>
        <w:t xml:space="preserve">Controlled distribution and lifecycle management of investor/demo accounts.</w:t>
      </w:r>
    </w:p>
    <w:p>
      <w:pPr>
        <w:pStyle w:val="Heading2"/>
      </w:pPr>
      <w:bookmarkStart w:id="14" w:name="_db04392a0a491f9636969f219dd172cb48cd3c3"/>
      <w:r>
        <w:t xml:space="preserve">API / SDK / RBAC control decision</w:t>
      </w:r>
    </w:p>
    <w:p>
      <w:pPr>
        <w:pStyle w:val="FirstParagraph"/>
      </w:pPr>
      <w:r>
        <w:t xml:space="preserve">The frontend and platform now have a clearer separation:</w:t>
      </w:r>
    </w:p>
    <w:p>
      <w:pPr>
        <w:pStyle w:val="BodyText"/>
      </w:pPr>
      <w:r>
        <w:rPr>
          <w:rStyle w:val="VerbatimChar"/>
        </w:rPr>
        <w:t xml:space="preserve">Next.js -&gt; Frontend Platform SDK -&gt; canonical typed API contracts -&gt; API boundary -&gt; HISN modular monolith</w:t>
      </w:r>
    </w:p>
    <w:p>
      <w:pPr>
        <w:pStyle w:val="BodyText"/>
      </w:pPr>
      <w:r>
        <w:t xml:space="preserve">The platform remains the security and authorization authority. Frontend permission checks are UX guards only.</w:t>
      </w:r>
    </w:p>
    <w:p>
      <w:pPr>
        <w:pStyle w:val="BodyText"/>
      </w:pPr>
      <w:r>
        <w:t xml:space="preserve">The platform authorization model is fail-closed and tenant-bound, and its canonical policy includes separation-of-duties prohibitions. The new</w:t>
      </w:r>
      <w:r>
        <w:t xml:space="preserve"> </w:t>
      </w:r>
      <w:r>
        <w:rPr>
          <w:rStyle w:val="VerbatimChar"/>
        </w:rPr>
        <w:t xml:space="preserve">demo_viewer</w:t>
      </w:r>
      <w:r>
        <w:t xml:space="preserve"> </w:t>
      </w:r>
      <w:r>
        <w:t xml:space="preserve">role is deliberately narrower than operational compliance roles.</w:t>
      </w:r>
    </w:p>
    <w:p>
      <w:pPr>
        <w:pStyle w:val="Heading2"/>
      </w:pPr>
      <w:bookmarkStart w:id="15" w:name="_107391c82e8b8b451ddb56a9c65c4d032cd259e"/>
      <w:r>
        <w:t xml:space="preserve">Engine visibility decision</w:t>
      </w:r>
    </w:p>
    <w:p>
      <w:pPr>
        <w:pStyle w:val="FirstParagraph"/>
      </w:pPr>
      <w:r>
        <w:t xml:space="preserve">Only runtime-registered engines are treated as active. Current runtime truth is six engines: AML, Fraud, Graph, KYB, KYC, Sanctions. Manifest-only capabilities such as future intelligence/risk components are not presented as active until they are registered and executable evidence exists.</w:t>
      </w:r>
    </w:p>
    <w:p>
      <w:pPr>
        <w:pStyle w:val="Heading2"/>
      </w:pPr>
      <w:bookmarkStart w:id="16" w:name="_f78f932bca8cb4daa49b1e6d87dbcd6e4a8b83a"/>
      <w:r>
        <w:t xml:space="preserve">Regulatory reporting decision</w:t>
      </w:r>
    </w:p>
    <w:p>
      <w:pPr>
        <w:pStyle w:val="FirstParagraph"/>
      </w:pPr>
      <w:r>
        <w:t xml:space="preserve">The canonical</w:t>
      </w:r>
      <w:r>
        <w:t xml:space="preserve"> </w:t>
      </w:r>
      <w:r>
        <w:rPr>
          <w:rStyle w:val="VerbatimChar"/>
        </w:rPr>
        <w:t xml:space="preserve">RegulatoryReport</w:t>
      </w:r>
      <w:r>
        <w:t xml:space="preserve"> </w:t>
      </w:r>
      <w:r>
        <w:t xml:space="preserve">contract remains the downstream reporting boundary. Suspicious transactions are canonically represented as</w:t>
      </w:r>
      <w:r>
        <w:t xml:space="preserve"> </w:t>
      </w:r>
      <w:r>
        <w:rPr>
          <w:rStyle w:val="VerbatimChar"/>
        </w:rPr>
        <w:t xml:space="preserve">STR</w:t>
      </w:r>
      <w:r>
        <w:t xml:space="preserve">;</w:t>
      </w:r>
      <w:r>
        <w:t xml:space="preserve"> </w:t>
      </w:r>
      <w:r>
        <w:rPr>
          <w:rStyle w:val="VerbatimChar"/>
        </w:rPr>
        <w:t xml:space="preserve">SAR</w:t>
      </w:r>
      <w:r>
        <w:t xml:space="preserve"> </w:t>
      </w:r>
      <w:r>
        <w:t xml:space="preserve">remains an interoperability alias, and</w:t>
      </w:r>
      <w:r>
        <w:t xml:space="preserve"> </w:t>
      </w:r>
      <w:r>
        <w:rPr>
          <w:rStyle w:val="VerbatimChar"/>
        </w:rPr>
        <w:t xml:space="preserve">CTR</w:t>
      </w:r>
      <w:r>
        <w:t xml:space="preserve"> </w:t>
      </w:r>
      <w:r>
        <w:t xml:space="preserve">is a distinct report class.</w:t>
      </w:r>
    </w:p>
    <w:p>
      <w:pPr>
        <w:pStyle w:val="BodyText"/>
      </w:pPr>
      <w:r>
        <w:t xml:space="preserve">The report UX may render, print, export and prepare an internal review email from canonical decision data. That is</w:t>
      </w:r>
      <w:r>
        <w:t xml:space="preserve"> </w:t>
      </w:r>
      <w:r>
        <w:rPr>
          <w:b/>
          <w:bCs/>
        </w:rPr>
        <w:t xml:space="preserve">not equivalent</w:t>
      </w:r>
      <w:r>
        <w:t xml:space="preserve"> </w:t>
      </w:r>
      <w:r>
        <w:t xml:space="preserve">to automated regulator submission. No UI action should imply that emailing a report is the same as SAFIU/goAML submission.</w:t>
      </w:r>
    </w:p>
    <w:p>
      <w:pPr>
        <w:pStyle w:val="BodyText"/>
      </w:pPr>
      <w:r>
        <w:t xml:space="preserve">The current report surface therefore remains review/export, while authority-specific submission is a separate governed capability requiring its own authorization, evidence and operational integration.</w:t>
      </w:r>
    </w:p>
    <w:p>
      <w:pPr>
        <w:pStyle w:val="Heading2"/>
      </w:pPr>
      <w:bookmarkStart w:id="17" w:name="_08a55c82f759fb0bfb96ca093a483da8e2ac1fb"/>
      <w:r>
        <w:t xml:space="preserve">Role-based control view</w:t>
      </w:r>
    </w:p>
    <w:p>
      <w:pPr>
        <w:pStyle w:val="Heading3"/>
      </w:pPr>
      <w:bookmarkStart w:id="18" w:name="_cto"/>
      <w:r>
        <w:t xml:space="preserve">CTO</w:t>
      </w:r>
    </w:p>
    <w:p>
      <w:pPr>
        <w:pStyle w:val="FirstParagraph"/>
      </w:pPr>
      <w:r>
        <w:t xml:space="preserve">Protect the architecture and enforce deterministic, reversible engineering. Keep the modular monolith until service boundaries are justified by topology, load, isolation, or regulatory/operational requirements. Do not rewrite the frontend and do not introduce microservices for signaling.</w:t>
      </w:r>
    </w:p>
    <w:p>
      <w:pPr>
        <w:pStyle w:val="Heading3"/>
      </w:pPr>
      <w:bookmarkStart w:id="19" w:name="_9014efe6d39a40e55c9ce358109939846b21204"/>
      <w:r>
        <w:t xml:space="preserve">SAMA / Compliance</w:t>
      </w:r>
    </w:p>
    <w:p>
      <w:pPr>
        <w:pStyle w:val="FirstParagraph"/>
      </w:pPr>
      <w:r>
        <w:t xml:space="preserve">Treat secure SDLC, application security, access control/segregation of duties, data protection/classification, vulnerability and patch management, backup/recovery, change management, regulatory reporting controls and periodic control review as explicit evidence domains. Local tests are evidence, not regulatory certification.</w:t>
      </w:r>
    </w:p>
    <w:p>
      <w:pPr>
        <w:pStyle w:val="Heading3"/>
      </w:pPr>
      <w:bookmarkStart w:id="20" w:name="_1f510c4930c4a5fe77006a3152cd92db8616e03"/>
      <w:r>
        <w:t xml:space="preserve">CCO / CRC</w:t>
      </w:r>
    </w:p>
    <w:p>
      <w:pPr>
        <w:pStyle w:val="FirstParagraph"/>
      </w:pPr>
      <w:r>
        <w:t xml:space="preserve">Require traceability from control requirement -&gt; implementation -&gt; test -&gt; runtime evidence -&gt; owner -&gt; residual risk decision. No green status without objective evidence. Compliance claims must distinguish implemented, locally verified, target verified, independently assessed, and regulator-certified states.</w:t>
      </w:r>
    </w:p>
    <w:p>
      <w:pPr>
        <w:pStyle w:val="Heading3"/>
      </w:pPr>
      <w:bookmarkStart w:id="21" w:name="_cro"/>
      <w:r>
        <w:t xml:space="preserve">CRO</w:t>
      </w:r>
    </w:p>
    <w:p>
      <w:pPr>
        <w:pStyle w:val="FirstParagraph"/>
      </w:pPr>
      <w:r>
        <w:t xml:space="preserve">Security and operational gaps are risks with owners and treatment paths, not engineering footnotes. Release remains blocked while high-impact known vulnerabilities lack remediation or approved residual-risk treatment.</w:t>
      </w:r>
    </w:p>
    <w:p>
      <w:pPr>
        <w:pStyle w:val="Heading3"/>
      </w:pPr>
      <w:bookmarkStart w:id="22" w:name="_cmo"/>
      <w:r>
        <w:t xml:space="preserve">CMO</w:t>
      </w:r>
    </w:p>
    <w:p>
      <w:pPr>
        <w:pStyle w:val="FirstParagraph"/>
      </w:pPr>
      <w:r>
        <w:t xml:space="preserve">External messaging must use only verified product claims. Investor demos must use the designated demo boundary and must not expose production customer information or imply regulator certification.</w:t>
      </w:r>
    </w:p>
    <w:p>
      <w:pPr>
        <w:pStyle w:val="Heading3"/>
      </w:pPr>
      <w:bookmarkStart w:id="23" w:name="_mrlo"/>
      <w:r>
        <w:t xml:space="preserve">MRLO</w:t>
      </w:r>
    </w:p>
    <w:p>
      <w:pPr>
        <w:pStyle w:val="FirstParagraph"/>
      </w:pPr>
      <w:r>
        <w:t xml:space="preserve">Decision, evidence, audit, identity, tenant, and regulatory-reporting surfaces must preserve lineage and accountability. Changes to authentication, decisioning, screening, evidence, audit, reporting or data retention require impact assessment before release.</w:t>
      </w:r>
    </w:p>
    <w:p>
      <w:pPr>
        <w:pStyle w:val="Heading2"/>
      </w:pPr>
      <w:bookmarkStart w:id="24" w:name="_f745f9740bcf919bec012091f65cd2f9e1ff551"/>
      <w:r>
        <w:t xml:space="preserve">Release sequence from current state</w:t>
      </w:r>
    </w:p>
    <w:p>
      <w:pPr>
        <w:pStyle w:val="Compact"/>
        <w:numPr>
          <w:ilvl w:val="0"/>
          <w:numId w:val="1004"/>
        </w:numPr>
      </w:pPr>
      <w:r>
        <w:t xml:space="preserve">Run the existing 20-assertion terminal policy/evidence suite on the intended target and capture the evidence artifact.</w:t>
      </w:r>
    </w:p>
    <w:p>
      <w:pPr>
        <w:pStyle w:val="Compact"/>
        <w:numPr>
          <w:ilvl w:val="0"/>
          <w:numId w:val="1004"/>
        </w:numPr>
      </w:pPr>
      <w:r>
        <w:t xml:space="preserve">Deploy</w:t>
      </w:r>
      <w:r>
        <w:t xml:space="preserve"> </w:t>
      </w:r>
      <w:r>
        <w:rPr>
          <w:rStyle w:val="VerbatimChar"/>
        </w:rPr>
        <w:t xml:space="preserve">/api/runtime/engines</w:t>
      </w:r>
      <w:r>
        <w:t xml:space="preserve"> </w:t>
      </w:r>
      <w:r>
        <w:t xml:space="preserve">and verify the frontend engine panel against the same deployment pair.</w:t>
      </w:r>
    </w:p>
    <w:p>
      <w:pPr>
        <w:pStyle w:val="Compact"/>
        <w:numPr>
          <w:ilvl w:val="0"/>
          <w:numId w:val="1004"/>
        </w:numPr>
      </w:pPr>
      <w:r>
        <w:t xml:space="preserve">Run the real browser Decision flow and prove</w:t>
      </w:r>
      <w:r>
        <w:t xml:space="preserve"> </w:t>
      </w:r>
      <w:r>
        <w:rPr>
          <w:rStyle w:val="VerbatimChar"/>
        </w:rPr>
        <w:t xml:space="preserve">decision_id</w:t>
      </w:r>
      <w:r>
        <w:t xml:space="preserve"> </w:t>
      </w:r>
      <w:r>
        <w:t xml:space="preserve">continuity through Decision DNA, evidence, audit and report rendering.</w:t>
      </w:r>
    </w:p>
    <w:p>
      <w:pPr>
        <w:pStyle w:val="Compact"/>
        <w:numPr>
          <w:ilvl w:val="0"/>
          <w:numId w:val="1004"/>
        </w:numPr>
      </w:pPr>
      <w:r>
        <w:t xml:space="preserve">Execute controlled backend dependency remediation and re-run regression/security/audit.</w:t>
      </w:r>
    </w:p>
    <w:p>
      <w:pPr>
        <w:pStyle w:val="Compact"/>
        <w:numPr>
          <w:ilvl w:val="0"/>
          <w:numId w:val="1004"/>
        </w:numPr>
      </w:pPr>
      <w:r>
        <w:t xml:space="preserve">Close target observability, application rollback, performance and RPO/RTO controls.</w:t>
      </w:r>
    </w:p>
    <w:p>
      <w:pPr>
        <w:pStyle w:val="Compact"/>
        <w:numPr>
          <w:ilvl w:val="0"/>
          <w:numId w:val="1004"/>
        </w:numPr>
      </w:pPr>
      <w:r>
        <w:t xml:space="preserve">Validate authority-specific regulatory reporting workflow and approval segregation.</w:t>
      </w:r>
    </w:p>
    <w:p>
      <w:pPr>
        <w:pStyle w:val="Compact"/>
        <w:numPr>
          <w:ilvl w:val="0"/>
          <w:numId w:val="1004"/>
        </w:numPr>
      </w:pPr>
      <w:r>
        <w:t xml:space="preserve">Provision individual investor demo accounts in the dedicated demo tenant and distribute credentials through an approved out-of-band channel.</w:t>
      </w:r>
    </w:p>
    <w:p>
      <w:pPr>
        <w:pStyle w:val="Compact"/>
        <w:numPr>
          <w:ilvl w:val="0"/>
          <w:numId w:val="1004"/>
        </w:numPr>
      </w:pPr>
      <w:r>
        <w:t xml:space="preserve">Complete independent security review appropriate to the pilot deployment.</w:t>
      </w:r>
    </w:p>
    <w:p>
      <w:pPr>
        <w:pStyle w:val="Compact"/>
        <w:numPr>
          <w:ilvl w:val="0"/>
          <w:numId w:val="1004"/>
        </w:numPr>
      </w:pPr>
      <w:r>
        <w:t xml:space="preserve">Make the final executive release decision from the complete evidence package.</w:t>
      </w:r>
    </w:p>
    <w:p>
      <w:pPr>
        <w:pStyle w:val="Heading2"/>
      </w:pPr>
      <w:bookmarkStart w:id="25" w:name="_a6cf2ac15106ef937a352776236ae95727f5f4d"/>
      <w:r>
        <w:t xml:space="preserve">Evidence discipline</w:t>
      </w:r>
    </w:p>
    <w:p>
      <w:pPr>
        <w:pStyle w:val="FirstParagraph"/>
      </w:pPr>
      <w:r>
        <w:t xml:space="preserve">The latest dated evidence supersedes historical counts for current-state claims. Historical documents remain for auditability. Missing evidence remains OPEN; it is never inferred from a related passing test.</w:t>
      </w:r>
    </w:p>
    <w:p>
      <w:pPr>
        <w:pStyle w:val="BodyText"/>
      </w:pPr>
      <w:r>
        <w:t xml:space="preserve">This report is an internal engineering/control register. It is not a SAMA, ISO, NIST, PCI, CMA, penetration-testing, or independent-audit certification.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EXECUTIVE CONTROL REPORT 2026-09-02</dc:title>
  <dc:creator>HISN Platform</dc:creator>
  <cp:keywords>HISN, FCDOS, financial crime, decision operating system</cp:keywords>
  <dcterms:created xsi:type="dcterms:W3CDTF">2026-10-13T12:57:05Z</dcterms:created>
  <dcterms:modified xsi:type="dcterms:W3CDTF">2026-10-13T12:57:05Z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