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f544966c2d33745a31d0464bd65275c2c2f147e"/>
      <w:r>
        <w:t xml:space="preserve">HISN Final Release Gate Board — 2026-09-02</w:t>
      </w:r>
    </w:p>
    <w:p>
      <w:pPr>
        <w:pStyle w:val="FirstParagraph"/>
      </w:pPr>
      <w:r>
        <w:rPr>
          <w:b/>
          <w:bCs/>
        </w:rPr>
        <w:t xml:space="preserve">Release line:</w:t>
      </w:r>
      <w:r>
        <w:t xml:space="preserve"> </w:t>
      </w:r>
      <w:r>
        <w:t xml:space="preserve">10.0.1</w:t>
      </w:r>
      <w:r>
        <w:br/>
      </w:r>
      <w:r>
        <w:rPr>
          <w:b/>
          <w:bCs/>
        </w:rPr>
        <w:t xml:space="preserve">Decision:</w:t>
      </w:r>
      <w:r>
        <w:t xml:space="preserve"> </w:t>
      </w:r>
      <w:r>
        <w:t xml:space="preserve">Release Candidate — NOT production-certified</w:t>
      </w:r>
      <w:r>
        <w:br/>
      </w:r>
      <w:r>
        <w:rPr>
          <w:b/>
          <w:bCs/>
        </w:rPr>
        <w:t xml:space="preserve">Authority:</w:t>
      </w:r>
      <w:r>
        <w:t xml:space="preserve"> </w:t>
      </w:r>
      <w:r>
        <w:t xml:space="preserve">Current Truth / Production Readiness Register / Engineering Handoff</w:t>
      </w:r>
    </w:p>
    <w:p>
      <w:pPr>
        <w:pStyle w:val="Heading2"/>
      </w:pPr>
      <w:bookmarkStart w:id="10" w:name="_65080d4bbada4f675d527edbe8cf86164532887"/>
      <w:r>
        <w:t xml:space="preserve">Gate matrix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Gate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Closure evidence required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Security dependency remediation</w:t>
            </w:r>
          </w:p>
        </w:tc>
        <w:tc>
          <w:tcPr/>
          <w:p>
            <w:pPr>
              <w:pStyle w:val="Compact"/>
            </w:pPr>
            <w:r>
              <w:t xml:space="preserve">🔴 BLOCKING</w:t>
            </w:r>
          </w:p>
        </w:tc>
        <w:tc>
          <w:tcPr/>
          <w:p>
            <w:pPr>
              <w:pStyle w:val="Compact"/>
            </w:pPr>
            <w:r>
              <w:t xml:space="preserve">Fresh dependency resolution; JWT migration verified where applicable; canonical lock regenerated from resolved environment; full regression + 39 security +</w:t>
            </w:r>
            <w:r>
              <w:t xml:space="preserve"> </w:t>
            </w:r>
            <w:r>
              <w:rPr>
                <w:rStyle w:val="VerbatimChar"/>
              </w:rPr>
              <w:t xml:space="preserve">pip-audit</w:t>
            </w:r>
            <w:r>
              <w:t xml:space="preserve"> </w:t>
            </w:r>
            <w:r>
              <w:t xml:space="preserve">+ target smoke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Full regression + 39 security</w:t>
            </w:r>
          </w:p>
        </w:tc>
        <w:tc>
          <w:tcPr/>
          <w:p>
            <w:pPr>
              <w:pStyle w:val="Compact"/>
            </w:pPr>
            <w:r>
              <w:t xml:space="preserve">⏳ GATED BY 1</w:t>
            </w:r>
          </w:p>
        </w:tc>
        <w:tc>
          <w:tcPr/>
          <w:p>
            <w:pPr>
              <w:pStyle w:val="Compact"/>
            </w:pPr>
            <w:r>
              <w:t xml:space="preserve">Fresh-environment backend regression and dedicated 39-test suite after dependency graph change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pip-audit</w:t>
            </w:r>
            <w:r>
              <w:t xml:space="preserve"> </w:t>
            </w:r>
            <w:r>
              <w:t xml:space="preserve">closure</w:t>
            </w:r>
          </w:p>
        </w:tc>
        <w:tc>
          <w:tcPr/>
          <w:p>
            <w:pPr>
              <w:pStyle w:val="Compact"/>
            </w:pPr>
            <w:r>
              <w:t xml:space="preserve">⏳ GATED BY 1</w:t>
            </w:r>
          </w:p>
        </w:tc>
        <w:tc>
          <w:tcPr/>
          <w:p>
            <w:pPr>
              <w:pStyle w:val="Compact"/>
            </w:pPr>
            <w:r>
              <w:t xml:space="preserve">Clean audit, or explicit residual-risk decision with documented compensating controls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Target observability</w:t>
            </w:r>
          </w:p>
        </w:tc>
        <w:tc>
          <w:tcPr/>
          <w:p>
            <w:pPr>
              <w:pStyle w:val="Compact"/>
            </w:pPr>
            <w:r>
              <w:t xml:space="preserve">⏳ OPEN</w:t>
            </w:r>
          </w:p>
        </w:tc>
        <w:tc>
          <w:tcPr/>
          <w:p>
            <w:pPr>
              <w:pStyle w:val="Compact"/>
            </w:pPr>
            <w:r>
              <w:t xml:space="preserve">Target evidence for logs, metrics, traces, correlation/trace IDs, alerting and operational ownership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Application artifact rollback</w:t>
            </w:r>
          </w:p>
        </w:tc>
        <w:tc>
          <w:tcPr/>
          <w:p>
            <w:pPr>
              <w:pStyle w:val="Compact"/>
            </w:pPr>
            <w:r>
              <w:t xml:space="preserve">⏳ OPEN</w:t>
            </w:r>
          </w:p>
        </w:tc>
        <w:tc>
          <w:tcPr/>
          <w:p>
            <w:pPr>
              <w:pStyle w:val="Compact"/>
            </w:pPr>
            <w:r>
              <w:t xml:space="preserve">Previous known-good application artifact deployable and rollback exercised in 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Target performance + RPO/RTO</w:t>
            </w:r>
          </w:p>
        </w:tc>
        <w:tc>
          <w:tcPr/>
          <w:p>
            <w:pPr>
              <w:pStyle w:val="Compact"/>
            </w:pPr>
            <w:r>
              <w:t xml:space="preserve">⏳ OPEN</w:t>
            </w:r>
          </w:p>
        </w:tc>
        <w:tc>
          <w:tcPr/>
          <w:p>
            <w:pPr>
              <w:pStyle w:val="Compact"/>
            </w:pPr>
            <w:r>
              <w:t xml:space="preserve">Target p50/p95/p99 baseline; measured recovery objectives; restore evidence and retention/backup controls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Browser Pilot on target</w:t>
            </w:r>
          </w:p>
        </w:tc>
        <w:tc>
          <w:tcPr/>
          <w:p>
            <w:pPr>
              <w:pStyle w:val="Compact"/>
            </w:pPr>
            <w:r>
              <w:t xml:space="preserve">⏳ OPEN</w:t>
            </w:r>
          </w:p>
        </w:tc>
        <w:tc>
          <w:tcPr/>
          <w:p>
            <w:pPr>
              <w:pStyle w:val="Compact"/>
            </w:pPr>
            <w:r>
              <w:t xml:space="preserve">Browser acceptance of canonical Golden Path against target deployment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Independent security assessment</w:t>
            </w:r>
          </w:p>
        </w:tc>
        <w:tc>
          <w:tcPr/>
          <w:p>
            <w:pPr>
              <w:pStyle w:val="Compact"/>
            </w:pPr>
            <w:r>
              <w:t xml:space="preserve">⏳ OPEN</w:t>
            </w:r>
          </w:p>
        </w:tc>
        <w:tc>
          <w:tcPr/>
          <w:p>
            <w:pPr>
              <w:pStyle w:val="Compact"/>
            </w:pPr>
            <w:r>
              <w:t xml:space="preserve">Independent application/infrastructure assessment and remediation disposition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CI release evidence</w:t>
            </w:r>
          </w:p>
        </w:tc>
        <w:tc>
          <w:tcPr/>
          <w:p>
            <w:pPr>
              <w:pStyle w:val="Compact"/>
            </w:pPr>
            <w:r>
              <w:t xml:space="preserve">⏳ EXTERNAL</w:t>
            </w:r>
          </w:p>
        </w:tc>
        <w:tc>
          <w:tcPr/>
          <w:p>
            <w:pPr>
              <w:pStyle w:val="Compact"/>
            </w:pPr>
            <w:r>
              <w:t xml:space="preserve">Repository/account-owned release evidence; not substituted by local checks</w:t>
            </w:r>
          </w:p>
        </w:tc>
      </w:tr>
    </w:tbl>
    <w:p>
      <w:pPr>
        <w:pStyle w:val="Heading2"/>
      </w:pPr>
      <w:bookmarkStart w:id="11" w:name="_96690712a1de6e8cc8e0e0e3d815c00398a2c2a"/>
      <w:r>
        <w:t xml:space="preserve">Dependency logic</w:t>
      </w:r>
    </w:p>
    <w:p>
      <w:pPr>
        <w:pStyle w:val="FirstParagraph"/>
      </w:pPr>
      <w:r>
        <w:t xml:space="preserve">Gate 1 is the first hard security blocker. Gates 2 and 3 must not be declared green until the dependency graph is changed in a controlled disposable environment and the application/security behavior is re-verified. Gates 4–7 can progress independently in parallel once target access and deployment evidence are available; Gate 8 is independent but required for final assurance. Gate 9 remains external to the present repository engineering evidence.</w:t>
      </w:r>
    </w:p>
    <w:p>
      <w:pPr>
        <w:pStyle w:val="Heading2"/>
      </w:pPr>
      <w:bookmarkStart w:id="12" w:name="_445a5ee2d9878f09796635f80d8aa5553980656"/>
      <w:r>
        <w:t xml:space="preserve">Current verified baseline</w:t>
      </w:r>
    </w:p>
    <w:p>
      <w:pPr>
        <w:pStyle w:val="Compact"/>
        <w:numPr>
          <w:ilvl w:val="0"/>
          <w:numId w:val="1001"/>
        </w:numPr>
      </w:pPr>
      <w:r>
        <w:t xml:space="preserve">Backend regression: 310/310 PASS.</w:t>
      </w:r>
    </w:p>
    <w:p>
      <w:pPr>
        <w:pStyle w:val="Compact"/>
        <w:numPr>
          <w:ilvl w:val="0"/>
          <w:numId w:val="1001"/>
        </w:numPr>
      </w:pPr>
      <w:r>
        <w:t xml:space="preserve">Focused auth/API tests: 3/3 PASS.</w:t>
      </w:r>
    </w:p>
    <w:p>
      <w:pPr>
        <w:pStyle w:val="Compact"/>
        <w:numPr>
          <w:ilvl w:val="0"/>
          <w:numId w:val="1001"/>
        </w:numPr>
      </w:pPr>
      <w:r>
        <w:t xml:space="preserve">Target backend evidence: PASS / 0 failed checks.</w:t>
      </w:r>
    </w:p>
    <w:p>
      <w:pPr>
        <w:pStyle w:val="Compact"/>
        <w:numPr>
          <w:ilvl w:val="0"/>
          <w:numId w:val="1001"/>
        </w:numPr>
      </w:pPr>
      <w:r>
        <w:t xml:space="preserve">Frontend lint: 0 errors / 9 warnings.</w:t>
      </w:r>
    </w:p>
    <w:p>
      <w:pPr>
        <w:pStyle w:val="Compact"/>
        <w:numPr>
          <w:ilvl w:val="0"/>
          <w:numId w:val="1001"/>
        </w:numPr>
      </w:pPr>
      <w:r>
        <w:t xml:space="preserve">Frontend typecheck: PASS.</w:t>
      </w:r>
    </w:p>
    <w:p>
      <w:pPr>
        <w:pStyle w:val="Compact"/>
        <w:numPr>
          <w:ilvl w:val="0"/>
          <w:numId w:val="1001"/>
        </w:numPr>
      </w:pPr>
      <w:r>
        <w:t xml:space="preserve">Frontend architecture: PASS — 52 source files inspected.</w:t>
      </w:r>
    </w:p>
    <w:p>
      <w:pPr>
        <w:pStyle w:val="Compact"/>
        <w:numPr>
          <w:ilvl w:val="0"/>
          <w:numId w:val="1001"/>
        </w:numPr>
      </w:pPr>
      <w:r>
        <w:t xml:space="preserve">Frontend tests: 21/21 PASS.</w:t>
      </w:r>
    </w:p>
    <w:p>
      <w:pPr>
        <w:pStyle w:val="Compact"/>
        <w:numPr>
          <w:ilvl w:val="0"/>
          <w:numId w:val="1001"/>
        </w:numPr>
      </w:pPr>
      <w:r>
        <w:t xml:space="preserve">Frontend production build: PASS.</w:t>
      </w:r>
    </w:p>
    <w:p>
      <w:pPr>
        <w:pStyle w:val="Compact"/>
        <w:numPr>
          <w:ilvl w:val="0"/>
          <w:numId w:val="1001"/>
        </w:numPr>
      </w:pPr>
      <w:r>
        <w:t xml:space="preserve">Migration contract: 3/3 PASS.</w:t>
      </w:r>
    </w:p>
    <w:p>
      <w:pPr>
        <w:pStyle w:val="Compact"/>
        <w:numPr>
          <w:ilvl w:val="0"/>
          <w:numId w:val="1001"/>
        </w:numPr>
      </w:pPr>
      <w:r>
        <w:t xml:space="preserve">Clean disposable migration rehearsal: PASS through migration 205.</w:t>
      </w:r>
    </w:p>
    <w:p>
      <w:pPr>
        <w:pStyle w:val="Compact"/>
        <w:numPr>
          <w:ilvl w:val="0"/>
          <w:numId w:val="1001"/>
        </w:numPr>
      </w:pPr>
      <w:r>
        <w:t xml:space="preserve">Local backup/restore: PASS (previously executed).</w:t>
      </w:r>
    </w:p>
    <w:p>
      <w:pPr>
        <w:pStyle w:val="Compact"/>
        <w:numPr>
          <w:ilvl w:val="0"/>
          <w:numId w:val="1001"/>
        </w:numPr>
      </w:pPr>
      <w:r>
        <w:t xml:space="preserve">Local database rollback: PASS (previously executed).</w:t>
      </w:r>
    </w:p>
    <w:p>
      <w:pPr>
        <w:pStyle w:val="Compact"/>
        <w:numPr>
          <w:ilvl w:val="0"/>
          <w:numId w:val="1001"/>
        </w:numPr>
      </w:pPr>
      <w:r>
        <w:t xml:space="preserve">Dedicated security regression: 39/39 in two consecutive prior verified runs.</w:t>
      </w:r>
    </w:p>
    <w:p>
      <w:pPr>
        <w:pStyle w:val="Compact"/>
        <w:numPr>
          <w:ilvl w:val="0"/>
          <w:numId w:val="1001"/>
        </w:numPr>
      </w:pPr>
      <w:r>
        <w:t xml:space="preserve">Dependency audit: 36 known vulnerabilities across 7 packages — BLOCKING.</w:t>
      </w:r>
    </w:p>
    <w:p>
      <w:pPr>
        <w:pStyle w:val="Heading2"/>
      </w:pPr>
      <w:bookmarkStart w:id="13" w:name="_fab5cb57ad524fa1216324c232255510be015ef"/>
      <w:r>
        <w:t xml:space="preserve">Non-negotiable controls</w:t>
      </w:r>
    </w:p>
    <w:p>
      <w:pPr>
        <w:pStyle w:val="Compact"/>
        <w:numPr>
          <w:ilvl w:val="0"/>
          <w:numId w:val="1002"/>
        </w:numPr>
      </w:pPr>
      <w:r>
        <w:t xml:space="preserve">No vulnerability suppression or audit exclusions as a closure mechanism.</w:t>
      </w:r>
    </w:p>
    <w:p>
      <w:pPr>
        <w:pStyle w:val="Compact"/>
        <w:numPr>
          <w:ilvl w:val="0"/>
          <w:numId w:val="1002"/>
        </w:numPr>
      </w:pPr>
      <w:r>
        <w:t xml:space="preserve">No blanket dependency upgrade.</w:t>
      </w:r>
    </w:p>
    <w:p>
      <w:pPr>
        <w:pStyle w:val="Compact"/>
        <w:numPr>
          <w:ilvl w:val="0"/>
          <w:numId w:val="1002"/>
        </w:numPr>
      </w:pPr>
      <w:r>
        <w:t xml:space="preserve">No hand-editing of transitive lock versions.</w:t>
      </w:r>
    </w:p>
    <w:p>
      <w:pPr>
        <w:pStyle w:val="Compact"/>
        <w:numPr>
          <w:ilvl w:val="0"/>
          <w:numId w:val="1002"/>
        </w:numPr>
      </w:pPr>
      <w:r>
        <w:t xml:space="preserve">No weakening/removal of tests.</w:t>
      </w:r>
    </w:p>
    <w:p>
      <w:pPr>
        <w:pStyle w:val="Compact"/>
        <w:numPr>
          <w:ilvl w:val="0"/>
          <w:numId w:val="1002"/>
        </w:numPr>
      </w:pPr>
      <w:r>
        <w:t xml:space="preserve">No fake endpoint or synthetic evidence added to satisfy an assurance collector.</w:t>
      </w:r>
    </w:p>
    <w:p>
      <w:pPr>
        <w:pStyle w:val="Compact"/>
        <w:numPr>
          <w:ilvl w:val="0"/>
          <w:numId w:val="1002"/>
        </w:numPr>
      </w:pPr>
      <w:r>
        <w:t xml:space="preserve">No production certification claim before all blocking operational/security gates are evidenced.</w:t>
      </w:r>
    </w:p>
    <w:p>
      <w:pPr>
        <w:pStyle w:val="Heading2"/>
      </w:pPr>
      <w:bookmarkStart w:id="14" w:name="_e8993be25936f6b169c674732fa12420ed16603"/>
      <w:r>
        <w:t xml:space="preserve">SAMA-control interpretation</w:t>
      </w:r>
    </w:p>
    <w:p>
      <w:pPr>
        <w:pStyle w:val="FirstParagraph"/>
      </w:pPr>
      <w:r>
        <w:t xml:space="preserve">This board is an engineering assurance control register, not a claim of SAMA certification. The relevant SAMA Cyber Security Framework themes include application security, secure development, vulnerability/patch management, monitoring, logging, recovery, and controlled change. Final regulatory posture remains subject to the regulated entity’s governance, scope, and independent assessment.</w:t>
      </w:r>
    </w:p>
    <w:p>
      <w:pPr>
        <w:pStyle w:val="Heading2"/>
      </w:pPr>
      <w:bookmarkStart w:id="15" w:name="_b533043ba4f06d0f61e2d452bdcc1c2c655725f"/>
      <w:r>
        <w:t xml:space="preserve">Closure rule</w:t>
      </w:r>
    </w:p>
    <w:p>
      <w:pPr>
        <w:pStyle w:val="FirstParagraph"/>
      </w:pPr>
      <w:r>
        <w:t xml:space="preserve">A gate changes from ⏳/🔴 to ✅ only when the underlying evidence exists, is reproducible, and is recorded in the repository’s authoritative assurance artifacts. Documentation alone does not close an execution gate.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FINAL RELEASE GATE BOARD 2026-09-02</dc:title>
  <dc:creator>HISN Platform</dc:creator>
  <cp:keywords>HISN, FCDOS, financial crime, decision operating system</cp:keywords>
  <dcterms:created xsi:type="dcterms:W3CDTF">2026-10-13T12:57:07Z</dcterms:created>
  <dcterms:modified xsi:type="dcterms:W3CDTF">2026-10-13T12:57:07Z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