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02b20ae8ea5de2dda02749f462e4fc2c073299f"/>
      <w:r>
        <w:t xml:space="preserve">HISN — Investment Evidence Matrix v1.0</w:t>
      </w:r>
    </w:p>
    <w:p>
      <w:pPr>
        <w:pStyle w:val="FirstParagraph"/>
      </w:pPr>
      <w:r>
        <w:rPr>
          <w:b/>
          <w:bCs/>
        </w:rPr>
        <w:t xml:space="preserve">Valuation date:</w:t>
      </w:r>
      <w:r>
        <w:t xml:space="preserve"> </w:t>
      </w:r>
      <w:r>
        <w:t xml:space="preserve">2026-08-14</w:t>
      </w:r>
      <w:r>
        <w:br/>
      </w:r>
      <w:r>
        <w:rPr>
          <w:b/>
          <w:bCs/>
        </w:rPr>
        <w:t xml:space="preserve">Baseline:</w:t>
      </w:r>
      <w:r>
        <w:t xml:space="preserve"> </w:t>
      </w:r>
      <w:r>
        <w:rPr>
          <w:rStyle w:val="VerbatimChar"/>
        </w:rPr>
        <w:t xml:space="preserve">0c526975aa63a839bcb4395bd501e5c5fbcf3a5e</w:t>
      </w:r>
    </w:p>
    <w:p>
      <w:pPr>
        <w:pStyle w:val="Heading2"/>
      </w:pPr>
      <w:bookmarkStart w:id="10" w:name="_rule"/>
      <w:r>
        <w:t xml:space="preserve">Rule</w:t>
      </w:r>
    </w:p>
    <w:p>
      <w:pPr>
        <w:pStyle w:val="FirstParagraph"/>
      </w:pPr>
      <w:r>
        <w:t xml:space="preserve">No valuation claim enters the investment memorandum unless it is supported by evidence, a clearly labeled assumption, or an explicitly identified market benchmark.</w:t>
      </w:r>
    </w:p>
    <w:p>
      <w:pPr>
        <w:pStyle w:val="Heading2"/>
      </w:pPr>
      <w:bookmarkStart w:id="11" w:name="_6a7d49c6febc84443bfd4ff4d454312e5b13a5a"/>
      <w:r>
        <w:t xml:space="preserve">Evidence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Current position</w:t>
            </w:r>
          </w:p>
        </w:tc>
        <w:tc>
          <w:tcPr/>
          <w:p>
            <w:pPr>
              <w:pStyle w:val="Compact"/>
            </w:pPr>
            <w:r>
              <w:t xml:space="preserve">Evidence class</w:t>
            </w:r>
          </w:p>
        </w:tc>
        <w:tc>
          <w:tcPr/>
          <w:p>
            <w:pPr>
              <w:pStyle w:val="Compact"/>
            </w:pPr>
            <w:r>
              <w:t xml:space="preserve">DD status</w:t>
            </w:r>
          </w:p>
        </w:tc>
        <w:tc>
          <w:tcPr/>
          <w:p>
            <w:pPr>
              <w:pStyle w:val="Compact"/>
            </w:pPr>
            <w:r>
              <w:t xml:space="preserve">Valuation effect</w:t>
            </w:r>
          </w:p>
        </w:tc>
        <w:tc>
          <w:tcPr/>
          <w:p>
            <w:pPr>
              <w:pStyle w:val="Compact"/>
            </w:pPr>
            <w:r>
              <w:t xml:space="preserve">Required next proof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Problem</w:t>
            </w:r>
          </w:p>
        </w:tc>
        <w:tc>
          <w:tcPr/>
          <w:p>
            <w:pPr>
              <w:pStyle w:val="Compact"/>
            </w:pPr>
            <w:r>
              <w:t xml:space="preserve">Financial-crime decision infrastructure for regulated institutions</w:t>
            </w:r>
          </w:p>
        </w:tc>
        <w:tc>
          <w:tcPr/>
          <w:p>
            <w:pPr>
              <w:pStyle w:val="Compact"/>
            </w:pPr>
            <w:r>
              <w:t xml:space="preserve">Product/market thesis</w:t>
            </w:r>
          </w:p>
        </w:tc>
        <w:tc>
          <w:tcPr/>
          <w:p>
            <w:pPr>
              <w:pStyle w:val="Compact"/>
            </w:pPr>
            <w:r>
              <w:t xml:space="preserve">Substantially evidenced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Bottom-up customer interviews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</w:t>
            </w:r>
          </w:p>
        </w:tc>
        <w:tc>
          <w:tcPr/>
          <w:p>
            <w:pPr>
              <w:pStyle w:val="Compact"/>
            </w:pPr>
            <w:r>
              <w:t xml:space="preserve">Saudi + GCC financial institutions, AML/fraud/KYC/sanctions/compliance</w:t>
            </w:r>
          </w:p>
        </w:tc>
        <w:tc>
          <w:tcPr/>
          <w:p>
            <w:pPr>
              <w:pStyle w:val="Compact"/>
            </w:pPr>
            <w:r>
              <w:t xml:space="preserve">Market/regulatory</w:t>
            </w:r>
          </w:p>
        </w:tc>
        <w:tc>
          <w:tcPr/>
          <w:p>
            <w:pPr>
              <w:pStyle w:val="Compact"/>
            </w:pPr>
            <w:r>
              <w:t xml:space="preserve">Open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Saudi TAM/SAM/SOM with primary sources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FCDOS, decision runtime, evidence-backed workflow</w:t>
            </w:r>
          </w:p>
        </w:tc>
        <w:tc>
          <w:tcPr/>
          <w:p>
            <w:pPr>
              <w:pStyle w:val="Compact"/>
            </w:pPr>
            <w:r>
              <w:t xml:space="preserve">Repository</w:t>
            </w:r>
          </w:p>
        </w:tc>
        <w:tc>
          <w:tcPr/>
          <w:p>
            <w:pPr>
              <w:pStyle w:val="Compact"/>
            </w:pPr>
            <w:r>
              <w:t xml:space="preserve">Verified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Live product demo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</w:t>
            </w:r>
          </w:p>
        </w:tc>
        <w:tc>
          <w:tcPr/>
          <w:p>
            <w:pPr>
              <w:pStyle w:val="Compact"/>
            </w:pPr>
            <w:r>
              <w:t xml:space="preserve">Modular monolith, explicit domains, canonical decision path</w:t>
            </w:r>
          </w:p>
        </w:tc>
        <w:tc>
          <w:tcPr/>
          <w:p>
            <w:pPr>
              <w:pStyle w:val="Compact"/>
            </w:pPr>
            <w:r>
              <w:t xml:space="preserve">Repository</w:t>
            </w:r>
          </w:p>
        </w:tc>
        <w:tc>
          <w:tcPr/>
          <w:p>
            <w:pPr>
              <w:pStyle w:val="Compact"/>
            </w:pPr>
            <w:r>
              <w:t xml:space="preserve">Verified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Independent technical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SSOT</w:t>
            </w:r>
          </w:p>
        </w:tc>
        <w:tc>
          <w:tcPr/>
          <w:p>
            <w:pPr>
              <w:pStyle w:val="Compact"/>
            </w:pPr>
            <w:r>
              <w:t xml:space="preserve">Canonical topology registry + tests</w:t>
            </w:r>
          </w:p>
        </w:tc>
        <w:tc>
          <w:tcPr/>
          <w:p>
            <w:pPr>
              <w:pStyle w:val="Compact"/>
            </w:pPr>
            <w:r>
              <w:t xml:space="preserve">Latest commits</w:t>
            </w:r>
          </w:p>
        </w:tc>
        <w:tc>
          <w:tcPr/>
          <w:p>
            <w:pPr>
              <w:pStyle w:val="Compact"/>
            </w:pPr>
            <w:r>
              <w:t xml:space="preserve">Verified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Keep invariant in CI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isolation</w:t>
            </w:r>
          </w:p>
        </w:tc>
        <w:tc>
          <w:tcPr/>
          <w:p>
            <w:pPr>
              <w:pStyle w:val="Compact"/>
            </w:pPr>
            <w:r>
              <w:t xml:space="preserve">PostgreSQL RLS and coverage invariants</w:t>
            </w:r>
          </w:p>
        </w:tc>
        <w:tc>
          <w:tcPr/>
          <w:p>
            <w:pPr>
              <w:pStyle w:val="Compact"/>
            </w:pPr>
            <w:r>
              <w:t xml:space="preserve">Latest commits</w:t>
            </w:r>
          </w:p>
        </w:tc>
        <w:tc>
          <w:tcPr/>
          <w:p>
            <w:pPr>
              <w:pStyle w:val="Compact"/>
            </w:pPr>
            <w:r>
              <w:t xml:space="preserve">Verified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Independent security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Testing</w:t>
            </w:r>
          </w:p>
        </w:tc>
        <w:tc>
          <w:tcPr/>
          <w:p>
            <w:pPr>
              <w:pStyle w:val="Compact"/>
            </w:pPr>
            <w:r>
              <w:t xml:space="preserve">165 passed in committed README baseline</w:t>
            </w:r>
          </w:p>
        </w:tc>
        <w:tc>
          <w:tcPr/>
          <w:p>
            <w:pPr>
              <w:pStyle w:val="Compact"/>
            </w:pPr>
            <w:r>
              <w:t xml:space="preserve">Repository</w:t>
            </w:r>
          </w:p>
        </w:tc>
        <w:tc>
          <w:tcPr/>
          <w:p>
            <w:pPr>
              <w:pStyle w:val="Compact"/>
            </w:pPr>
            <w:r>
              <w:t xml:space="preserve">Verified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Commit latest higher test result if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Defense-in-depth posture documented</w:t>
            </w:r>
          </w:p>
        </w:tc>
        <w:tc>
          <w:tcPr/>
          <w:p>
            <w:pPr>
              <w:pStyle w:val="Compact"/>
            </w:pPr>
            <w:r>
              <w:t xml:space="preserve">Security documentation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Positive with discount</w:t>
            </w:r>
          </w:p>
        </w:tc>
        <w:tc>
          <w:tcPr/>
          <w:p>
            <w:pPr>
              <w:pStyle w:val="Compact"/>
            </w:pPr>
            <w:r>
              <w:t xml:space="preserve">Pen test, vulnerability assessment, operational 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</w:t>
            </w:r>
          </w:p>
        </w:tc>
        <w:tc>
          <w:tcPr/>
          <w:p>
            <w:pPr>
              <w:pStyle w:val="Compact"/>
            </w:pPr>
            <w:r>
              <w:t xml:space="preserve">Proprietary product/source/architecture notice</w:t>
            </w:r>
          </w:p>
        </w:tc>
        <w:tc>
          <w:tcPr/>
          <w:p>
            <w:pPr>
              <w:pStyle w:val="Compact"/>
            </w:pPr>
            <w:r>
              <w:t xml:space="preserve">IP documentation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IP assignment chain, trademark/license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Architecture designed for regulated financial environment</w:t>
            </w:r>
          </w:p>
        </w:tc>
        <w:tc>
          <w:tcPr/>
          <w:p>
            <w:pPr>
              <w:pStyle w:val="Compact"/>
            </w:pPr>
            <w:r>
              <w:t xml:space="preserve">Product/regulatory mapping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Requirement-to-control matrix and counsel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Competition</w:t>
            </w:r>
          </w:p>
        </w:tc>
        <w:tc>
          <w:tcPr/>
          <w:p>
            <w:pPr>
              <w:pStyle w:val="Compact"/>
            </w:pPr>
            <w:r>
              <w:t xml:space="preserve">Strong Saudi and global competitors exist</w:t>
            </w:r>
          </w:p>
        </w:tc>
        <w:tc>
          <w:tcPr/>
          <w:p>
            <w:pPr>
              <w:pStyle w:val="Compact"/>
            </w:pPr>
            <w:r>
              <w:t xml:space="preserve">Market research</w:t>
            </w:r>
          </w:p>
        </w:tc>
        <w:tc>
          <w:tcPr/>
          <w:p>
            <w:pPr>
              <w:pStyle w:val="Compact"/>
            </w:pPr>
            <w:r>
              <w:t xml:space="preserve">Open</w:t>
            </w:r>
          </w:p>
        </w:tc>
        <w:tc>
          <w:tcPr/>
          <w:p>
            <w:pPr>
              <w:pStyle w:val="Compact"/>
            </w:pPr>
            <w:r>
              <w:t xml:space="preserve">Negative/neutral</w:t>
            </w:r>
          </w:p>
        </w:tc>
        <w:tc>
          <w:tcPr/>
          <w:p>
            <w:pPr>
              <w:pStyle w:val="Compact"/>
            </w:pPr>
            <w:r>
              <w:t xml:space="preserve">Formal competitor matrix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Traction</w:t>
            </w:r>
          </w:p>
        </w:tc>
        <w:tc>
          <w:tcPr/>
          <w:p>
            <w:pPr>
              <w:pStyle w:val="Compact"/>
            </w:pPr>
            <w:r>
              <w:t xml:space="preserve">No verified ARR/customer evidence in current DD set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Unverified</w:t>
            </w:r>
          </w:p>
        </w:tc>
        <w:tc>
          <w:tcPr/>
          <w:p>
            <w:pPr>
              <w:pStyle w:val="Compact"/>
            </w:pPr>
            <w:r>
              <w:t xml:space="preserve">Major negative</w:t>
            </w:r>
          </w:p>
        </w:tc>
        <w:tc>
          <w:tcPr/>
          <w:p>
            <w:pPr>
              <w:pStyle w:val="Compact"/>
            </w:pPr>
            <w:r>
              <w:t xml:space="preserve">Design partners and paid pilots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No verified ARR in current DD set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Unverified</w:t>
            </w:r>
          </w:p>
        </w:tc>
        <w:tc>
          <w:tcPr/>
          <w:p>
            <w:pPr>
              <w:pStyle w:val="Compact"/>
            </w:pPr>
            <w:r>
              <w:t xml:space="preserve">Major negative</w:t>
            </w:r>
          </w:p>
        </w:tc>
        <w:tc>
          <w:tcPr/>
          <w:p>
            <w:pPr>
              <w:pStyle w:val="Compact"/>
            </w:pPr>
            <w:r>
              <w:t xml:space="preserve">Signed contracts/invoices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</w:t>
            </w:r>
          </w:p>
        </w:tc>
        <w:tc>
          <w:tcPr/>
          <w:p>
            <w:pPr>
              <w:pStyle w:val="Compact"/>
            </w:pPr>
            <w:r>
              <w:t xml:space="preserve">Enterprise model is defined conceptually</w:t>
            </w:r>
          </w:p>
        </w:tc>
        <w:tc>
          <w:tcPr/>
          <w:p>
            <w:pPr>
              <w:pStyle w:val="Compact"/>
            </w:pPr>
            <w:r>
              <w:t xml:space="preserve">Business model</w:t>
            </w:r>
          </w:p>
        </w:tc>
        <w:tc>
          <w:tcPr/>
          <w:p>
            <w:pPr>
              <w:pStyle w:val="Compact"/>
            </w:pPr>
            <w:r>
              <w:t xml:space="preserve">Early</w:t>
            </w:r>
          </w:p>
        </w:tc>
        <w:tc>
          <w:tcPr/>
          <w:p>
            <w:pPr>
              <w:pStyle w:val="Compact"/>
            </w:pPr>
            <w:r>
              <w:t xml:space="preserve">Negative</w:t>
            </w:r>
          </w:p>
        </w:tc>
        <w:tc>
          <w:tcPr/>
          <w:p>
            <w:pPr>
              <w:pStyle w:val="Compact"/>
            </w:pPr>
            <w:r>
              <w:t xml:space="preserve">Named pipeline + sales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</w:t>
            </w:r>
          </w:p>
        </w:tc>
        <w:tc>
          <w:tcPr/>
          <w:p>
            <w:pPr>
              <w:pStyle w:val="Compact"/>
            </w:pPr>
            <w:r>
              <w:t xml:space="preserve">Founder-led with technical/product execution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Team CVs, roles, hiring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model</w:t>
            </w:r>
          </w:p>
        </w:tc>
        <w:tc>
          <w:tcPr/>
          <w:p>
            <w:pPr>
              <w:pStyle w:val="Compact"/>
            </w:pPr>
            <w:r>
              <w:t xml:space="preserve">Not yet independently validated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  <w:tc>
          <w:tcPr/>
          <w:p>
            <w:pPr>
              <w:pStyle w:val="Compact"/>
            </w:pPr>
            <w:r>
              <w:t xml:space="preserve">Open</w:t>
            </w:r>
          </w:p>
        </w:tc>
        <w:tc>
          <w:tcPr/>
          <w:p>
            <w:pPr>
              <w:pStyle w:val="Compact"/>
            </w:pPr>
            <w:r>
              <w:t xml:space="preserve">Negative</w:t>
            </w:r>
          </w:p>
        </w:tc>
        <w:tc>
          <w:tcPr/>
          <w:p>
            <w:pPr>
              <w:pStyle w:val="Compact"/>
            </w:pPr>
            <w:r>
              <w:t xml:space="preserve">5-year integrated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Capital efficiency</w:t>
            </w:r>
          </w:p>
        </w:tc>
        <w:tc>
          <w:tcPr/>
          <w:p>
            <w:pPr>
              <w:pStyle w:val="Compact"/>
            </w:pPr>
            <w:r>
              <w:t xml:space="preserve">Significant technology built before institutional funding</w:t>
            </w:r>
          </w:p>
        </w:tc>
        <w:tc>
          <w:tcPr/>
          <w:p>
            <w:pPr>
              <w:pStyle w:val="Compact"/>
            </w:pPr>
            <w:r>
              <w:t xml:space="preserve">Repository/company context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  <w:tc>
          <w:tcPr/>
          <w:p>
            <w:pPr>
              <w:pStyle w:val="Compact"/>
            </w:pPr>
            <w:r>
              <w:t xml:space="preserve">Verified historical spend and founder contribution</w:t>
            </w:r>
          </w:p>
        </w:tc>
      </w:tr>
    </w:tbl>
    <w:p>
      <w:pPr>
        <w:pStyle w:val="Heading2"/>
      </w:pPr>
      <w:bookmarkStart w:id="12" w:name="_b6aaf7ec2247cac303bb09994c1213f93fe966c"/>
      <w:r>
        <w:t xml:space="preserve">Evidence classes</w:t>
      </w:r>
    </w:p>
    <w:p>
      <w:pPr>
        <w:pStyle w:val="Heading3"/>
      </w:pPr>
      <w:bookmarkStart w:id="13" w:name="_5de6f1457aeb7818c946bb087d64dbe08935388"/>
      <w:r>
        <w:t xml:space="preserve">A — Verified</w:t>
      </w:r>
    </w:p>
    <w:p>
      <w:pPr>
        <w:pStyle w:val="FirstParagraph"/>
      </w:pPr>
      <w:r>
        <w:t xml:space="preserve">Directly observable in the canonical repository or primary company records.</w:t>
      </w:r>
    </w:p>
    <w:p>
      <w:pPr>
        <w:pStyle w:val="Heading3"/>
      </w:pPr>
      <w:bookmarkStart w:id="14" w:name="_a1cef5742b454a241dbe9301b1e9617e63e3cd9"/>
      <w:r>
        <w:t xml:space="preserve">B — Verified but requires independent enterprise validation</w:t>
      </w:r>
    </w:p>
    <w:p>
      <w:pPr>
        <w:pStyle w:val="FirstParagraph"/>
      </w:pPr>
      <w:r>
        <w:t xml:space="preserve">Implemented or documented but requiring external audit, customer deployment, or formal certification.</w:t>
      </w:r>
    </w:p>
    <w:p>
      <w:pPr>
        <w:pStyle w:val="Heading3"/>
      </w:pPr>
      <w:bookmarkStart w:id="15" w:name="_826e9306fb54409fcbb072599c82f3a84c13397"/>
      <w:r>
        <w:t xml:space="preserve">C — Designed</w:t>
      </w:r>
    </w:p>
    <w:p>
      <w:pPr>
        <w:pStyle w:val="FirstParagraph"/>
      </w:pPr>
      <w:r>
        <w:t xml:space="preserve">Architecture/product/business design exists, but operating evidence is incomplete.</w:t>
      </w:r>
    </w:p>
    <w:p>
      <w:pPr>
        <w:pStyle w:val="Heading3"/>
      </w:pPr>
      <w:bookmarkStart w:id="16" w:name="_8d3d44b21c2564458ac658b4ee6afc45f6b735f"/>
      <w:r>
        <w:t xml:space="preserve">D — Planned</w:t>
      </w:r>
    </w:p>
    <w:p>
      <w:pPr>
        <w:pStyle w:val="FirstParagraph"/>
      </w:pPr>
      <w:r>
        <w:t xml:space="preserve">Roadmap only. It must not receive full valuation credit.</w:t>
      </w:r>
    </w:p>
    <w:p>
      <w:pPr>
        <w:pStyle w:val="Heading2"/>
      </w:pPr>
      <w:bookmarkStart w:id="17" w:name="_3bade320928bc63cdf71993cf31aca54b50c4b2"/>
      <w:r>
        <w:t xml:space="preserve">Valuation discipline</w:t>
      </w:r>
    </w:p>
    <w:p>
      <w:pPr>
        <w:pStyle w:val="FirstParagraph"/>
      </w:pPr>
      <w:r>
        <w:t xml:space="preserve">The current valuation should be driven primarily by A and B evidence. C evidence may support strategic upside but should receive a material discount. D evidence is excluded from the core valuation and treated only as optional upside.</w:t>
      </w:r>
    </w:p>
    <w:p>
      <w:pPr>
        <w:pStyle w:val="Heading2"/>
      </w:pPr>
      <w:bookmarkStart w:id="18" w:name="_8e036abb0cc202dc9e5351e096768334ae69782"/>
      <w:r>
        <w:t xml:space="preserve">Current valuation conclusion</w:t>
      </w:r>
    </w:p>
    <w:p>
      <w:pPr>
        <w:pStyle w:val="FirstParagraph"/>
      </w:pPr>
      <w:r>
        <w:rPr>
          <w:b/>
          <w:bCs/>
        </w:rPr>
        <w:t xml:space="preserve">Defensible current pre-money range: SAR 20M–30M.</w:t>
      </w:r>
    </w:p>
    <w:p>
      <w:pPr>
        <w:pStyle w:val="BodyText"/>
      </w:pPr>
      <w:r>
        <w:rPr>
          <w:b/>
          <w:bCs/>
        </w:rPr>
        <w:t xml:space="preserve">Base-case fair value: SAR 25M pre-money.</w:t>
      </w:r>
    </w:p>
    <w:p>
      <w:pPr>
        <w:pStyle w:val="BodyText"/>
      </w:pPr>
      <w:r>
        <w:rPr>
          <w:b/>
          <w:bCs/>
        </w:rPr>
        <w:t xml:space="preserve">Negotiation opening target: SAR 27.5M pre-money.</w:t>
      </w:r>
    </w:p>
    <w:p>
      <w:pPr>
        <w:pStyle w:val="BodyText"/>
      </w:pPr>
      <w:r>
        <w:rPr>
          <w:b/>
          <w:bCs/>
        </w:rPr>
        <w:t xml:space="preserve">Recommended financing case: SAR 6M at SAR 25M pre-money, implying approximately 19.35% post-money ownership for the new investor.</w:t>
      </w:r>
    </w:p>
    <w:p>
      <w:pPr>
        <w:pStyle w:val="BodyText"/>
      </w:pPr>
      <w:r>
        <w:t xml:space="preserve">These figures are preliminary and remain subject to completion of market, financial, legal, IP, customer and security due diligence.</w:t>
      </w:r>
    </w:p>
    <w:p>
      <w:pPr>
        <w:pStyle w:val="Heading2"/>
      </w:pPr>
      <w:bookmarkStart w:id="19" w:name="_5a74fb1d7c0d1902346ce3f837232afaabe2598"/>
      <w:r>
        <w:t xml:space="preserve">Re-rating triggers</w:t>
      </w:r>
    </w:p>
    <w:p>
      <w:pPr>
        <w:pStyle w:val="FirstParagraph"/>
      </w:pPr>
      <w:r>
        <w:t xml:space="preserve">HISN should be re-valued upward when evidence establishes:</w:t>
      </w:r>
    </w:p>
    <w:p>
      <w:pPr>
        <w:pStyle w:val="Compact"/>
        <w:numPr>
          <w:ilvl w:val="0"/>
          <w:numId w:val="1001"/>
        </w:numPr>
      </w:pPr>
      <w:r>
        <w:t xml:space="preserve">1–2 qualified design partners.</w:t>
      </w:r>
    </w:p>
    <w:p>
      <w:pPr>
        <w:pStyle w:val="Compact"/>
        <w:numPr>
          <w:ilvl w:val="0"/>
          <w:numId w:val="1001"/>
        </w:numPr>
      </w:pPr>
      <w:r>
        <w:t xml:space="preserve">First paid institutional customer.</w:t>
      </w:r>
    </w:p>
    <w:p>
      <w:pPr>
        <w:pStyle w:val="Compact"/>
        <w:numPr>
          <w:ilvl w:val="0"/>
          <w:numId w:val="1001"/>
        </w:numPr>
      </w:pPr>
      <w:r>
        <w:t xml:space="preserve">Contracted recurring revenue.</w:t>
      </w:r>
    </w:p>
    <w:p>
      <w:pPr>
        <w:pStyle w:val="Compact"/>
        <w:numPr>
          <w:ilvl w:val="0"/>
          <w:numId w:val="1001"/>
        </w:numPr>
      </w:pPr>
      <w:r>
        <w:t xml:space="preserve">3–5 enterprise customers with repeatable deployment.</w:t>
      </w:r>
    </w:p>
    <w:p>
      <w:pPr>
        <w:pStyle w:val="Compact"/>
        <w:numPr>
          <w:ilvl w:val="0"/>
          <w:numId w:val="1001"/>
        </w:numPr>
      </w:pPr>
      <w:r>
        <w:t xml:space="preserve">Documented reduction in false positives or investigation time.</w:t>
      </w:r>
    </w:p>
    <w:p>
      <w:pPr>
        <w:pStyle w:val="Compact"/>
        <w:numPr>
          <w:ilvl w:val="0"/>
          <w:numId w:val="1001"/>
        </w:numPr>
      </w:pPr>
      <w:r>
        <w:t xml:space="preserve">Independent security validation.</w:t>
      </w:r>
    </w:p>
    <w:p>
      <w:pPr>
        <w:pStyle w:val="Compact"/>
        <w:numPr>
          <w:ilvl w:val="0"/>
          <w:numId w:val="1001"/>
        </w:numPr>
      </w:pPr>
      <w:r>
        <w:t xml:space="preserve">Saudi regulatory/control mapping completed.</w:t>
      </w:r>
    </w:p>
    <w:p>
      <w:pPr>
        <w:pStyle w:val="Compact"/>
        <w:numPr>
          <w:ilvl w:val="0"/>
          <w:numId w:val="1001"/>
        </w:numPr>
      </w:pPr>
      <w:r>
        <w:t xml:space="preserve">Repeatable enterprise sales pipeline.</w:t>
      </w:r>
    </w:p>
    <w:p>
      <w:pPr>
        <w:pStyle w:val="Compact"/>
        <w:numPr>
          <w:ilvl w:val="0"/>
          <w:numId w:val="1001"/>
        </w:numPr>
      </w:pPr>
      <w:r>
        <w:t xml:space="preserve">GCC expansion pipeline.</w:t>
      </w:r>
    </w:p>
    <w:p>
      <w:pPr>
        <w:pStyle w:val="Heading2"/>
      </w:pPr>
      <w:bookmarkStart w:id="20" w:name="_b17fa74d2f6c18fb91fd5f127c603809a253a67"/>
      <w:r>
        <w:t xml:space="preserve">Investor question standard</w:t>
      </w:r>
    </w:p>
    <w:p>
      <w:pPr>
        <w:pStyle w:val="FirstParagraph"/>
      </w:pPr>
      <w:r>
        <w:t xml:space="preserve">For every material investor question, the data room should provide:</w:t>
      </w:r>
    </w:p>
    <w:p>
      <w:pPr>
        <w:pStyle w:val="BodyText"/>
      </w:pPr>
      <w:r>
        <w:rPr>
          <w:b/>
          <w:bCs/>
        </w:rPr>
        <w:t xml:space="preserve">Claim → Evidence → Source → Date → Owner → Limitation → Next validation.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INVESTMENT EVIDENCE MATRIX V1.0</dc:title>
  <dc:creator>HISN Platform</dc:creator>
  <cp:keywords>HISN, FCDOS, financial crime, decision operating system</cp:keywords>
  <dcterms:created xsi:type="dcterms:W3CDTF">2026-10-13T12:57:06Z</dcterms:created>
  <dcterms:modified xsi:type="dcterms:W3CDTF">2026-10-13T12:57:06Z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