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8349fa973344106164273337dcfddad4f71c4f1"/>
      <w:r>
        <w:t xml:space="preserve">HISN Production Release Freeze — 2026-10-07</w:t>
      </w:r>
    </w:p>
    <w:p>
      <w:pPr>
        <w:pStyle w:val="Heading2"/>
      </w:pPr>
      <w:bookmarkStart w:id="10" w:name="_d655683de05d2d11bdb42b36b71d21a3be422f7"/>
      <w:r>
        <w:t xml:space="preserve">Control decision</w:t>
      </w:r>
    </w:p>
    <w:p>
      <w:pPr>
        <w:pStyle w:val="FirstParagraph"/>
      </w:pPr>
      <w:r>
        <w:t xml:space="preserve">HISN production is frozen to evidence-bound commit baselines while controlled release admission is introduced.</w:t>
      </w:r>
    </w:p>
    <w:p>
      <w:pPr>
        <w:pStyle w:val="Heading3"/>
      </w:pPr>
      <w:bookmarkStart w:id="11" w:name="_backend"/>
      <w:r>
        <w:t xml:space="preserve">Backend</w:t>
      </w:r>
    </w:p>
    <w:p>
      <w:pPr>
        <w:pStyle w:val="Compact"/>
        <w:numPr>
          <w:ilvl w:val="0"/>
          <w:numId w:val="1001"/>
        </w:numPr>
      </w:pPr>
      <w:r>
        <w:t xml:space="preserve">Railway project:</w:t>
      </w:r>
      <w:r>
        <w:t xml:space="preserve"> </w:t>
      </w:r>
      <w:r>
        <w:rPr>
          <w:rStyle w:val="VerbatimChar"/>
        </w:rPr>
        <w:t xml:space="preserve">empathetic-simplicity</w:t>
      </w:r>
    </w:p>
    <w:p>
      <w:pPr>
        <w:pStyle w:val="Compact"/>
        <w:numPr>
          <w:ilvl w:val="0"/>
          <w:numId w:val="1001"/>
        </w:numPr>
      </w:pPr>
      <w:r>
        <w:t xml:space="preserve">Environment:</w:t>
      </w:r>
      <w:r>
        <w:t xml:space="preserve"> </w:t>
      </w:r>
      <w:r>
        <w:rPr>
          <w:rStyle w:val="VerbatimChar"/>
        </w:rPr>
        <w:t xml:space="preserve">production</w:t>
      </w:r>
    </w:p>
    <w:p>
      <w:pPr>
        <w:pStyle w:val="Compact"/>
        <w:numPr>
          <w:ilvl w:val="0"/>
          <w:numId w:val="1001"/>
        </w:numPr>
      </w:pPr>
      <w:r>
        <w:t xml:space="preserve">Service:</w:t>
      </w:r>
      <w:r>
        <w:t xml:space="preserve"> </w:t>
      </w:r>
      <w:r>
        <w:rPr>
          <w:rStyle w:val="VerbatimChar"/>
        </w:rPr>
        <w:t xml:space="preserve">hisn-platform</w:t>
      </w:r>
    </w:p>
    <w:p>
      <w:pPr>
        <w:pStyle w:val="Compact"/>
        <w:numPr>
          <w:ilvl w:val="0"/>
          <w:numId w:val="1001"/>
        </w:numPr>
      </w:pPr>
      <w:r>
        <w:t xml:space="preserve">Source mode:</w:t>
      </w:r>
      <w:r>
        <w:t xml:space="preserve"> </w:t>
      </w:r>
      <w:r>
        <w:rPr>
          <w:b/>
          <w:bCs/>
        </w:rPr>
        <w:t xml:space="preserve">commit-pinned</w:t>
      </w:r>
    </w:p>
    <w:p>
      <w:pPr>
        <w:pStyle w:val="Compact"/>
        <w:numPr>
          <w:ilvl w:val="0"/>
          <w:numId w:val="1001"/>
        </w:numPr>
      </w:pPr>
      <w:r>
        <w:t xml:space="preserve">Pinned SHA:</w:t>
      </w:r>
      <w:r>
        <w:t xml:space="preserve"> </w:t>
      </w:r>
      <w:r>
        <w:rPr>
          <w:rStyle w:val="VerbatimChar"/>
        </w:rPr>
        <w:t xml:space="preserve">20858bbe4554b0429b460226902e2418711edd68</w:t>
      </w:r>
    </w:p>
    <w:p>
      <w:pPr>
        <w:pStyle w:val="Compact"/>
        <w:numPr>
          <w:ilvl w:val="0"/>
          <w:numId w:val="1001"/>
        </w:numPr>
      </w:pPr>
      <w:r>
        <w:t xml:space="preserve">Evidence:</w:t>
      </w:r>
      <w:r>
        <w:t xml:space="preserve"> </w:t>
      </w:r>
      <w:r>
        <w:rPr>
          <w:b/>
          <w:bCs/>
        </w:rPr>
        <w:t xml:space="preserve">903/903 exact-head regression PASS</w:t>
      </w:r>
      <w:r>
        <w:t xml:space="preserve"> </w:t>
      </w:r>
      <w:r>
        <w:t xml:space="preserve">on the pinned SHA</w:t>
      </w:r>
    </w:p>
    <w:p>
      <w:pPr>
        <w:pStyle w:val="Compact"/>
        <w:numPr>
          <w:ilvl w:val="0"/>
          <w:numId w:val="1001"/>
        </w:numPr>
      </w:pPr>
      <w:r>
        <w:t xml:space="preserve">Railway deployment for the pinned SHA:</w:t>
      </w:r>
      <w:r>
        <w:t xml:space="preserve"> </w:t>
      </w:r>
      <w:r>
        <w:rPr>
          <w:b/>
          <w:bCs/>
        </w:rPr>
        <w:t xml:space="preserve">SUCCESS</w:t>
      </w:r>
    </w:p>
    <w:p>
      <w:pPr>
        <w:pStyle w:val="Compact"/>
        <w:numPr>
          <w:ilvl w:val="0"/>
          <w:numId w:val="1001"/>
        </w:numPr>
      </w:pPr>
      <w:r>
        <w:t xml:space="preserve">Healthcheck:</w:t>
      </w:r>
      <w:r>
        <w:t xml:space="preserve"> </w:t>
      </w:r>
      <w:r>
        <w:rPr>
          <w:rStyle w:val="VerbatimChar"/>
        </w:rPr>
        <w:t xml:space="preserve">/health</w:t>
      </w:r>
    </w:p>
    <w:p>
      <w:pPr>
        <w:pStyle w:val="Compact"/>
        <w:numPr>
          <w:ilvl w:val="0"/>
          <w:numId w:val="1001"/>
        </w:numPr>
      </w:pPr>
      <w:r>
        <w:t xml:space="preserve">Tracing: enabled</w:t>
      </w:r>
    </w:p>
    <w:p>
      <w:pPr>
        <w:pStyle w:val="Compact"/>
        <w:numPr>
          <w:ilvl w:val="0"/>
          <w:numId w:val="1001"/>
        </w:numPr>
      </w:pPr>
      <w:r>
        <w:t xml:space="preserve">Auto-instrumentation: enabled</w:t>
      </w:r>
    </w:p>
    <w:p>
      <w:pPr>
        <w:pStyle w:val="Heading3"/>
      </w:pPr>
      <w:bookmarkStart w:id="12" w:name="_frontend"/>
      <w:r>
        <w:t xml:space="preserve">Frontend</w:t>
      </w:r>
    </w:p>
    <w:p>
      <w:pPr>
        <w:pStyle w:val="Compact"/>
        <w:numPr>
          <w:ilvl w:val="0"/>
          <w:numId w:val="1002"/>
        </w:numPr>
      </w:pPr>
      <w:r>
        <w:t xml:space="preserve">Service:</w:t>
      </w:r>
      <w:r>
        <w:t xml:space="preserve"> </w:t>
      </w:r>
      <w:r>
        <w:rPr>
          <w:rStyle w:val="VerbatimChar"/>
        </w:rPr>
        <w:t xml:space="preserve">hisn-frontend</w:t>
      </w:r>
    </w:p>
    <w:p>
      <w:pPr>
        <w:pStyle w:val="Compact"/>
        <w:numPr>
          <w:ilvl w:val="0"/>
          <w:numId w:val="1002"/>
        </w:numPr>
      </w:pPr>
      <w:r>
        <w:t xml:space="preserve">Source mode:</w:t>
      </w:r>
      <w:r>
        <w:t xml:space="preserve"> </w:t>
      </w:r>
      <w:r>
        <w:rPr>
          <w:b/>
          <w:bCs/>
        </w:rPr>
        <w:t xml:space="preserve">commit-pinned</w:t>
      </w:r>
    </w:p>
    <w:p>
      <w:pPr>
        <w:pStyle w:val="Compact"/>
        <w:numPr>
          <w:ilvl w:val="0"/>
          <w:numId w:val="1002"/>
        </w:numPr>
      </w:pPr>
      <w:r>
        <w:t xml:space="preserve">Pinned SHA:</w:t>
      </w:r>
      <w:r>
        <w:t xml:space="preserve"> </w:t>
      </w:r>
      <w:r>
        <w:rPr>
          <w:rStyle w:val="VerbatimChar"/>
        </w:rPr>
        <w:t xml:space="preserve">d9c97709950cb8d598a7e504dd047eb356e8bde9</w:t>
      </w:r>
    </w:p>
    <w:p>
      <w:pPr>
        <w:pStyle w:val="Compact"/>
        <w:numPr>
          <w:ilvl w:val="0"/>
          <w:numId w:val="1002"/>
        </w:numPr>
      </w:pPr>
      <w:r>
        <w:t xml:space="preserve">This is the previously verified frontend implementation baseline.</w:t>
      </w:r>
    </w:p>
    <w:p>
      <w:pPr>
        <w:pStyle w:val="Heading2"/>
      </w:pPr>
      <w:bookmarkStart w:id="13" w:name="_reason"/>
      <w:r>
        <w:t xml:space="preserve">Reason</w:t>
      </w:r>
    </w:p>
    <w:p>
      <w:pPr>
        <w:pStyle w:val="FirstParagraph"/>
      </w:pPr>
      <w:r>
        <w:t xml:space="preserve">Before this control, Railway followed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automatically. Sequential deployments were observed for recent commits, including documentation and governance changes. That is not treated as an approved banking release mechanism.</w:t>
      </w:r>
    </w:p>
    <w:p>
      <w:pPr>
        <w:pStyle w:val="Heading2"/>
      </w:pPr>
      <w:bookmarkStart w:id="14" w:name="_7dd0b4e388012678bdfecb13dc0a972f2ccd28d"/>
      <w:r>
        <w:t xml:space="preserve">Controlled release rule</w:t>
      </w:r>
    </w:p>
    <w:p>
      <w:pPr>
        <w:pStyle w:val="FirstParagraph"/>
      </w:pPr>
      <w:r>
        <w:t xml:space="preserve">A new production candidate must have an immutable SHA, exact-head assurance evidence, security and business approval references, a rollback reference, a DR plan reference, and a successful</w:t>
      </w:r>
      <w:r>
        <w:t xml:space="preserve"> </w:t>
      </w:r>
      <w:r>
        <w:rPr>
          <w:rStyle w:val="VerbatimChar"/>
        </w:rPr>
        <w:t xml:space="preserve">scripts/security/release_admission.sh</w:t>
      </w:r>
      <w:r>
        <w:t xml:space="preserve"> </w:t>
      </w:r>
      <w:r>
        <w:t xml:space="preserve">result before promotion.</w:t>
      </w:r>
    </w:p>
    <w:p>
      <w:pPr>
        <w:pStyle w:val="Heading2"/>
      </w:pPr>
      <w:bookmarkStart w:id="15" w:name="_classification"/>
      <w:r>
        <w:t xml:space="preserve">Classification</w:t>
      </w:r>
    </w:p>
    <w:p>
      <w:pPr>
        <w:pStyle w:val="Compact"/>
        <w:numPr>
          <w:ilvl w:val="0"/>
          <w:numId w:val="1003"/>
        </w:numPr>
      </w:pPr>
      <w:r>
        <w:t xml:space="preserve">Evidence-bound production freeze:</w:t>
      </w:r>
      <w:r>
        <w:t xml:space="preserve"> </w:t>
      </w:r>
      <w:r>
        <w:rPr>
          <w:b/>
          <w:bCs/>
        </w:rPr>
        <w:t xml:space="preserve">IMPLEMENTED</w:t>
      </w:r>
    </w:p>
    <w:p>
      <w:pPr>
        <w:pStyle w:val="Compact"/>
        <w:numPr>
          <w:ilvl w:val="0"/>
          <w:numId w:val="1003"/>
        </w:numPr>
      </w:pPr>
      <w:r>
        <w:t xml:space="preserve">Backend exact SHA pin:</w:t>
      </w:r>
      <w:r>
        <w:t xml:space="preserve"> </w:t>
      </w:r>
      <w:r>
        <w:rPr>
          <w:b/>
          <w:bCs/>
        </w:rPr>
        <w:t xml:space="preserve">ACTIVE</w:t>
      </w:r>
    </w:p>
    <w:p>
      <w:pPr>
        <w:pStyle w:val="Compact"/>
        <w:numPr>
          <w:ilvl w:val="0"/>
          <w:numId w:val="1003"/>
        </w:numPr>
      </w:pPr>
      <w:r>
        <w:t xml:space="preserve">Frontend exact SHA pin:</w:t>
      </w:r>
      <w:r>
        <w:t xml:space="preserve"> </w:t>
      </w:r>
      <w:r>
        <w:rPr>
          <w:b/>
          <w:bCs/>
        </w:rPr>
        <w:t xml:space="preserve">ACTIVE</w:t>
      </w:r>
    </w:p>
    <w:p>
      <w:pPr>
        <w:pStyle w:val="Compact"/>
        <w:numPr>
          <w:ilvl w:val="0"/>
          <w:numId w:val="1003"/>
        </w:numPr>
      </w:pPr>
      <w:r>
        <w:t xml:space="preserve">Automatic main-to-production promotion:</w:t>
      </w:r>
      <w:r>
        <w:t xml:space="preserve"> </w:t>
      </w:r>
      <w:r>
        <w:rPr>
          <w:b/>
          <w:bCs/>
        </w:rPr>
        <w:t xml:space="preserve">DISABLED BY PINNING</w:t>
      </w:r>
    </w:p>
    <w:p>
      <w:pPr>
        <w:pStyle w:val="Compact"/>
        <w:numPr>
          <w:ilvl w:val="0"/>
          <w:numId w:val="1003"/>
        </w:numPr>
      </w:pPr>
      <w:r>
        <w:t xml:space="preserve">Release admission contract:</w:t>
      </w:r>
      <w:r>
        <w:t xml:space="preserve"> </w:t>
      </w:r>
      <w:r>
        <w:rPr>
          <w:b/>
          <w:bCs/>
        </w:rPr>
        <w:t xml:space="preserve">IMPLEMENTED / FAIL-CLOSED</w:t>
      </w:r>
    </w:p>
    <w:p>
      <w:pPr>
        <w:pStyle w:val="Compact"/>
        <w:numPr>
          <w:ilvl w:val="0"/>
          <w:numId w:val="1003"/>
        </w:numPr>
      </w:pPr>
      <w:r>
        <w:t xml:space="preserve">Human protected-branch approval:</w:t>
      </w:r>
      <w:r>
        <w:t xml:space="preserve"> </w:t>
      </w:r>
      <w:r>
        <w:rPr>
          <w:b/>
          <w:bCs/>
        </w:rPr>
        <w:t xml:space="preserve">OPEN</w:t>
      </w:r>
    </w:p>
    <w:p>
      <w:pPr>
        <w:pStyle w:val="Compact"/>
        <w:numPr>
          <w:ilvl w:val="0"/>
          <w:numId w:val="1003"/>
        </w:numPr>
      </w:pPr>
      <w:r>
        <w:t xml:space="preserve">Independent release authorization:</w:t>
      </w:r>
      <w:r>
        <w:t xml:space="preserve"> </w:t>
      </w:r>
      <w:r>
        <w:rPr>
          <w:b/>
          <w:bCs/>
        </w:rPr>
        <w:t xml:space="preserve">OPEN</w:t>
      </w:r>
    </w:p>
    <w:p>
      <w:pPr>
        <w:pStyle w:val="Compact"/>
        <w:numPr>
          <w:ilvl w:val="0"/>
          <w:numId w:val="1003"/>
        </w:numPr>
      </w:pPr>
      <w:r>
        <w:t xml:space="preserve">Production KMS/HSM, SIEM/SOC, DR/RPO/RTO, PDPL, and independent assessment:</w:t>
      </w:r>
      <w:r>
        <w:t xml:space="preserve"> </w:t>
      </w:r>
      <w:r>
        <w:rPr>
          <w:b/>
          <w:bCs/>
        </w:rPr>
        <w:t xml:space="preserve">OPEN</w:t>
      </w:r>
    </w:p>
    <w:p>
      <w:pPr>
        <w:pStyle w:val="FirstParagraph"/>
      </w:pPr>
      <w:r>
        <w:t xml:space="preserve">This document is an internal production-control record. It is not a regulator approval or independent assurance statement.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PRODUCTION RELEASE FREEZE 2026-10-07</dc:title>
  <dc:creator>HISN Platform</dc:creator>
  <cp:keywords>HISN, FCDOS, financial crime, decision operating system</cp:keywords>
  <dcterms:created xsi:type="dcterms:W3CDTF">2026-10-13T12:57:06Z</dcterms:created>
  <dcterms:modified xsi:type="dcterms:W3CDTF">2026-10-13T12:57:06Z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