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e985a0583033e82505b70edb237441f64661f08"/>
      <w:r>
        <w:t xml:space="preserve">HISN Pilot Exit Assessment v0.1</w:t>
      </w:r>
    </w:p>
    <w:p>
      <w:pPr>
        <w:pStyle w:val="Heading2"/>
      </w:pPr>
      <w:bookmarkStart w:id="10" w:name="_188bc0b4dd0d89c4f821470439b0c8b4455ead2"/>
      <w:r>
        <w:t xml:space="preserve">Pilot Exit Decision</w:t>
      </w:r>
    </w:p>
    <w:p>
      <w:pPr>
        <w:pStyle w:val="FirstParagraph"/>
      </w:pPr>
      <w:r>
        <w:rPr>
          <w:b/>
          <w:bCs/>
        </w:rPr>
        <w:t xml:space="preserve">ACCEPT WITH OBSERVATIONS</w:t>
      </w:r>
    </w:p>
    <w:p>
      <w:pPr>
        <w:pStyle w:val="BodyText"/>
      </w:pPr>
      <w:r>
        <w:t xml:space="preserve">HISN has sufficient evidence to exit the current controlled pilot assessment cycle and enter the next architectural phase:</w:t>
      </w:r>
      <w:r>
        <w:t xml:space="preserve"> </w:t>
      </w:r>
      <w:r>
        <w:rPr>
          <w:b/>
          <w:bCs/>
        </w:rPr>
        <w:t xml:space="preserve">Institutional Risk Semantics</w:t>
      </w:r>
      <w:r>
        <w:t xml:space="preserve">.</w:t>
      </w:r>
    </w:p>
    <w:p>
      <w:pPr>
        <w:pStyle w:val="BodyText"/>
      </w:pPr>
      <w:r>
        <w:t xml:space="preserve">This is</w:t>
      </w:r>
      <w:r>
        <w:t xml:space="preserve"> </w:t>
      </w:r>
      <w:r>
        <w:rPr>
          <w:b/>
          <w:bCs/>
        </w:rPr>
        <w:t xml:space="preserve">not</w:t>
      </w:r>
      <w:r>
        <w:t xml:space="preserve"> </w:t>
      </w:r>
      <w:r>
        <w:t xml:space="preserve">a declaration of unrestricted production readiness, regulatory certification, or final Engine Assurance closure.</w:t>
      </w:r>
    </w:p>
    <w:p>
      <w:pPr>
        <w:pStyle w:val="BodyText"/>
      </w:pPr>
      <w:r>
        <w:t xml:space="preserve">The exit decision is based on the evidence collected across Wave 1 through Wave 6, with residual observations explicitly carried forward rather than silently treated as resolved.</w:t>
      </w:r>
    </w:p>
    <w:p>
      <w:r>
        <w:pict>
          <v:rect style="width:0;height:1.5pt" o:hralign="center" o:hrstd="t" o:hr="t"/>
        </w:pict>
      </w:r>
    </w:p>
    <w:p>
      <w:pPr>
        <w:pStyle w:val="Heading2"/>
      </w:pPr>
      <w:bookmarkStart w:id="11" w:name="_scope"/>
      <w:r>
        <w:t xml:space="preserve">1. Scope</w:t>
      </w:r>
    </w:p>
    <w:p>
      <w:pPr>
        <w:pStyle w:val="FirstParagraph"/>
      </w:pPr>
      <w:r>
        <w:t xml:space="preserve">This assessment closes the current pilot-assurance cycle covering:</w:t>
      </w:r>
    </w:p>
    <w:p>
      <w:pPr>
        <w:pStyle w:val="Compact"/>
        <w:numPr>
          <w:ilvl w:val="0"/>
          <w:numId w:val="1001"/>
        </w:numPr>
      </w:pPr>
      <w:r>
        <w:t xml:space="preserve">Wave 1 — AML Reconciliation</w:t>
      </w:r>
    </w:p>
    <w:p>
      <w:pPr>
        <w:pStyle w:val="Compact"/>
        <w:numPr>
          <w:ilvl w:val="0"/>
          <w:numId w:val="1001"/>
        </w:numPr>
      </w:pPr>
      <w:r>
        <w:t xml:space="preserve">Wave 2 — Fraud Reconciliation</w:t>
      </w:r>
    </w:p>
    <w:p>
      <w:pPr>
        <w:pStyle w:val="Compact"/>
        <w:numPr>
          <w:ilvl w:val="0"/>
          <w:numId w:val="1001"/>
        </w:numPr>
      </w:pPr>
      <w:r>
        <w:t xml:space="preserve">Wave 3 — Sanctions Reconciliation</w:t>
      </w:r>
    </w:p>
    <w:p>
      <w:pPr>
        <w:pStyle w:val="Compact"/>
        <w:numPr>
          <w:ilvl w:val="0"/>
          <w:numId w:val="1001"/>
        </w:numPr>
      </w:pPr>
      <w:r>
        <w:t xml:space="preserve">Wave 4 — KYC / KYB / UBO Reconciliation</w:t>
      </w:r>
    </w:p>
    <w:p>
      <w:pPr>
        <w:pStyle w:val="Compact"/>
        <w:numPr>
          <w:ilvl w:val="0"/>
          <w:numId w:val="1001"/>
        </w:numPr>
      </w:pPr>
      <w:r>
        <w:t xml:space="preserve">Wave 5 — Graph Reconciliation</w:t>
      </w:r>
    </w:p>
    <w:p>
      <w:pPr>
        <w:pStyle w:val="Compact"/>
        <w:numPr>
          <w:ilvl w:val="0"/>
          <w:numId w:val="1001"/>
        </w:numPr>
      </w:pPr>
      <w:r>
        <w:t xml:space="preserve">Wave 6 — Cross-Engine Decision Integrity</w:t>
      </w:r>
    </w:p>
    <w:p>
      <w:pPr>
        <w:pStyle w:val="FirstParagraph"/>
      </w:pPr>
      <w:r>
        <w:t xml:space="preserve">Assessment principle:</w:t>
      </w:r>
    </w:p>
    <w:p>
      <w:pPr>
        <w:pStyle w:val="SourceCode"/>
      </w:pPr>
      <w:r>
        <w:rPr>
          <w:rStyle w:val="VerbatimChar"/>
        </w:rPr>
        <w:t xml:space="preserve">Capability -&gt; Contract -&gt; Runtime -&gt; Evidence -&gt; Persistence -&gt; Policy -&gt; Decision</w:t>
      </w:r>
    </w:p>
    <w:p>
      <w:pPr>
        <w:pStyle w:val="FirstParagraph"/>
      </w:pPr>
      <w:r>
        <w:t xml:space="preserve">No production code changes were introduced as part of this exit assessment. No test expectations were altered. Findings were collected, classified, and documented against the current canonical runtime.</w:t>
      </w:r>
    </w:p>
    <w:p>
      <w:r>
        <w:pict>
          <v:rect style="width:0;height:1.5pt" o:hralign="center" o:hrstd="t" o:hr="t"/>
        </w:pict>
      </w:r>
    </w:p>
    <w:p>
      <w:pPr>
        <w:pStyle w:val="Heading2"/>
      </w:pPr>
      <w:bookmarkStart w:id="12" w:name="_ae2fd5150a89b8f3cbf6b17c9e61f22afe24ead"/>
      <w:r>
        <w:t xml:space="preserve">2. Evidence Summary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Wave</w:t>
            </w:r>
          </w:p>
        </w:tc>
        <w:tc>
          <w:tcPr/>
          <w:p>
            <w:pPr>
              <w:pStyle w:val="Compact"/>
            </w:pPr>
            <w:r>
              <w:t xml:space="preserve">Domain</w:t>
            </w:r>
          </w:p>
        </w:tc>
        <w:tc>
          <w:tcPr/>
          <w:p>
            <w:pPr>
              <w:pStyle w:val="Compact"/>
            </w:pPr>
            <w:r>
              <w:t xml:space="preserve">Result</w:t>
            </w:r>
          </w:p>
        </w:tc>
        <w:tc>
          <w:tcPr/>
          <w:p>
            <w:pPr>
              <w:pStyle w:val="Compact"/>
            </w:pPr>
            <w:r>
              <w:t xml:space="preserve">Exit Interpretation</w:t>
            </w:r>
          </w:p>
        </w:tc>
      </w:tr>
      <w:tr>
        <w:tc>
          <w:tcPr/>
          <w:p>
            <w:pPr>
              <w:pStyle w:val="Compact"/>
            </w:pPr>
            <w:r>
              <w:t xml:space="preserve">1</w:t>
            </w:r>
          </w:p>
        </w:tc>
        <w:tc>
          <w:tcPr/>
          <w:p>
            <w:pPr>
              <w:pStyle w:val="Compact"/>
            </w:pPr>
            <w:r>
              <w:t xml:space="preserve">AML</w:t>
            </w:r>
          </w:p>
        </w:tc>
        <w:tc>
          <w:tcPr/>
          <w:p>
            <w:pPr>
              <w:pStyle w:val="Compact"/>
            </w:pPr>
            <w:r>
              <w:rPr>
                <w:b/>
                <w:bCs/>
              </w:rPr>
              <w:t xml:space="preserve">AMBER</w:t>
            </w:r>
            <w:r>
              <w:t xml:space="preserve"> </w:t>
            </w:r>
            <w:r>
              <w:t xml:space="preserve">— Detection PASS; structuring/velocity/ML observations deferred; aggregation observation confirmed</w:t>
            </w:r>
          </w:p>
        </w:tc>
        <w:tc>
          <w:tcPr/>
          <w:p>
            <w:pPr>
              <w:pStyle w:val="Compact"/>
            </w:pPr>
            <w:r>
              <w:t xml:space="preserve">Core AML detection path is executable; some capabilities remain data/provider dependent; cross-engine dilution is known</w:t>
            </w:r>
          </w:p>
        </w:tc>
      </w:tr>
      <w:tr>
        <w:tc>
          <w:tcPr/>
          <w:p>
            <w:pPr>
              <w:pStyle w:val="Compact"/>
            </w:pPr>
            <w:r>
              <w:t xml:space="preserve">2</w:t>
            </w:r>
          </w:p>
        </w:tc>
        <w:tc>
          <w:tcPr/>
          <w:p>
            <w:pPr>
              <w:pStyle w:val="Compact"/>
            </w:pPr>
            <w:r>
              <w:t xml:space="preserve">Fraud</w:t>
            </w:r>
          </w:p>
        </w:tc>
        <w:tc>
          <w:tcPr/>
          <w:p>
            <w:pPr>
              <w:pStyle w:val="Compact"/>
            </w:pPr>
            <w:r>
              <w:rPr>
                <w:b/>
                <w:bCs/>
              </w:rPr>
              <w:t xml:space="preserve">AMBER</w:t>
            </w:r>
            <w:r>
              <w:t xml:space="preserve"> </w:t>
            </w:r>
            <w:r>
              <w:t xml:space="preserve">— Tested signals PASS; high-velocity and semantic aggregation observations deferred</w:t>
            </w:r>
          </w:p>
        </w:tc>
        <w:tc>
          <w:tcPr/>
          <w:p>
            <w:pPr>
              <w:pStyle w:val="Compact"/>
            </w:pPr>
            <w:r>
              <w:t xml:space="preserve">Fraud signals execute and persist; not all legacy/heritage capabilities are canonical runtime capabilities</w:t>
            </w:r>
          </w:p>
        </w:tc>
      </w:tr>
      <w:tr>
        <w:tc>
          <w:tcPr/>
          <w:p>
            <w:pPr>
              <w:pStyle w:val="Compact"/>
            </w:pPr>
            <w:r>
              <w:t xml:space="preserve">3</w:t>
            </w:r>
          </w:p>
        </w:tc>
        <w:tc>
          <w:tcPr/>
          <w:p>
            <w:pPr>
              <w:pStyle w:val="Compact"/>
            </w:pPr>
            <w:r>
              <w:t xml:space="preserve">Sanctions</w:t>
            </w:r>
          </w:p>
        </w:tc>
        <w:tc>
          <w:tcPr/>
          <w:p>
            <w:pPr>
              <w:pStyle w:val="Compact"/>
            </w:pPr>
            <w:r>
              <w:rPr>
                <w:b/>
                <w:bCs/>
              </w:rPr>
              <w:t xml:space="preserve">GREEN for Pilot Capability</w:t>
            </w:r>
          </w:p>
        </w:tc>
        <w:tc>
          <w:tcPr/>
          <w:p>
            <w:pPr>
              <w:pStyle w:val="Compact"/>
            </w:pPr>
            <w:r>
              <w:t xml:space="preserve">Match/clear behavior, evidence, persistence, policy precedence, and provider-failure test contract are established; live outage drill remains open</w:t>
            </w:r>
          </w:p>
        </w:tc>
      </w:tr>
      <w:tr>
        <w:tc>
          <w:tcPr/>
          <w:p>
            <w:pPr>
              <w:pStyle w:val="Compact"/>
            </w:pPr>
            <w:r>
              <w:t xml:space="preserve">4</w:t>
            </w:r>
          </w:p>
        </w:tc>
        <w:tc>
          <w:tcPr/>
          <w:p>
            <w:pPr>
              <w:pStyle w:val="Compact"/>
            </w:pPr>
            <w:r>
              <w:t xml:space="preserve">KYC / KYB / UBO</w:t>
            </w:r>
          </w:p>
        </w:tc>
        <w:tc>
          <w:tcPr/>
          <w:p>
            <w:pPr>
              <w:pStyle w:val="Compact"/>
            </w:pPr>
            <w:r>
              <w:rPr>
                <w:b/>
                <w:bCs/>
              </w:rPr>
              <w:t xml:space="preserve">AMBER</w:t>
            </w:r>
            <w:r>
              <w:t xml:space="preserve"> </w:t>
            </w:r>
            <w:r>
              <w:t xml:space="preserve">— Evidence sufficient for tested paths</w:t>
            </w:r>
          </w:p>
        </w:tc>
        <w:tc>
          <w:tcPr/>
          <w:p>
            <w:pPr>
              <w:pStyle w:val="Compact"/>
            </w:pPr>
            <w:r>
              <w:t xml:space="preserve">KYC and UBO propagation are demonstrated; independent verification/provider depth and one contract reachability gap remain</w:t>
            </w:r>
          </w:p>
        </w:tc>
      </w:tr>
      <w:tr>
        <w:tc>
          <w:tcPr/>
          <w:p>
            <w:pPr>
              <w:pStyle w:val="Compact"/>
            </w:pPr>
            <w:r>
              <w:t xml:space="preserve">5</w:t>
            </w:r>
          </w:p>
        </w:tc>
        <w:tc>
          <w:tcPr/>
          <w:p>
            <w:pPr>
              <w:pStyle w:val="Compact"/>
            </w:pPr>
            <w:r>
              <w:t xml:space="preserve">Graph</w:t>
            </w:r>
          </w:p>
        </w:tc>
        <w:tc>
          <w:tcPr/>
          <w:p>
            <w:pPr>
              <w:pStyle w:val="Compact"/>
            </w:pPr>
            <w:r>
              <w:rPr>
                <w:b/>
                <w:bCs/>
              </w:rPr>
              <w:t xml:space="preserve">AMBER</w:t>
            </w:r>
            <w:r>
              <w:t xml:space="preserve"> </w:t>
            </w:r>
            <w:r>
              <w:t xml:space="preserve">— Runtime reachable, intelligence untrusted</w:t>
            </w:r>
          </w:p>
        </w:tc>
        <w:tc>
          <w:tcPr/>
          <w:p>
            <w:pPr>
              <w:pStyle w:val="Compact"/>
            </w:pPr>
            <w:r>
              <w:t xml:space="preserve">Graph contract reaches runtime, but repository/service row-shape mismatch makes positive detection untrusted until corrected and re-probed</w:t>
            </w:r>
          </w:p>
        </w:tc>
      </w:tr>
      <w:tr>
        <w:tc>
          <w:tcPr/>
          <w:p>
            <w:pPr>
              <w:pStyle w:val="Compact"/>
            </w:pPr>
            <w:r>
              <w:t xml:space="preserve">6</w:t>
            </w:r>
          </w:p>
        </w:tc>
        <w:tc>
          <w:tcPr/>
          <w:p>
            <w:pPr>
              <w:pStyle w:val="Compact"/>
            </w:pPr>
            <w:r>
              <w:t xml:space="preserve">Cross-Engine</w:t>
            </w:r>
          </w:p>
        </w:tc>
        <w:tc>
          <w:tcPr/>
          <w:p>
            <w:pPr>
              <w:pStyle w:val="Compact"/>
            </w:pPr>
            <w:r>
              <w:rPr>
                <w:b/>
                <w:bCs/>
              </w:rPr>
              <w:t xml:space="preserve">AMBER</w:t>
            </w:r>
            <w:r>
              <w:t xml:space="preserve"> </w:t>
            </w:r>
            <w:r>
              <w:t xml:space="preserve">— Control precedence PASS; aggregation observation confirmed</w:t>
            </w:r>
          </w:p>
        </w:tc>
        <w:tc>
          <w:tcPr/>
          <w:p>
            <w:pPr>
              <w:pStyle w:val="Compact"/>
            </w:pPr>
            <w:r>
              <w:t xml:space="preserve">Multi-engine findings propagate and sanctions precedence blocks correctly; absent a stronger control, current averaging can dilute adverse findings into LOW/APPROVE</w:t>
            </w:r>
          </w:p>
        </w:tc>
      </w:tr>
    </w:tbl>
    <w:p>
      <w:pPr>
        <w:pStyle w:val="FirstParagraph"/>
      </w:pPr>
      <w:r>
        <w:t xml:space="preserve">Wave 6 explicitly records that the adversarial no-sanctions case reached</w:t>
      </w:r>
      <w:r>
        <w:t xml:space="preserve"> </w:t>
      </w:r>
      <w:r>
        <w:rPr>
          <w:rStyle w:val="VerbatimChar"/>
        </w:rPr>
        <w:t xml:space="preserve">0.38 / LOW / APPROVE</w:t>
      </w:r>
      <w:r>
        <w:t xml:space="preserve"> </w:t>
      </w:r>
      <w:r>
        <w:t xml:space="preserve">despite five active adverse findings, strengthening the existing deferred observation</w:t>
      </w:r>
      <w:r>
        <w:t xml:space="preserve"> </w:t>
      </w:r>
      <w:r>
        <w:rPr>
          <w:rStyle w:val="VerbatimChar"/>
        </w:rPr>
        <w:t xml:space="preserve">DEV-RISK-SEM-001</w:t>
      </w:r>
      <w:r>
        <w:t xml:space="preserve">. fileciteturn100file0L2-L2</w:t>
      </w:r>
    </w:p>
    <w:p>
      <w:r>
        <w:pict>
          <v:rect style="width:0;height:1.5pt" o:hralign="center" o:hrstd="t" o:hr="t"/>
        </w:pict>
      </w:r>
    </w:p>
    <w:p>
      <w:pPr>
        <w:pStyle w:val="Heading2"/>
      </w:pPr>
      <w:bookmarkStart w:id="13" w:name="_0c3fbb1c4e87ff28239088dd4b5d6e75bce0a93"/>
      <w:r>
        <w:t xml:space="preserve">3. Capability Exit Matrix</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Capability</w:t>
            </w:r>
          </w:p>
        </w:tc>
        <w:tc>
          <w:tcPr/>
          <w:p>
            <w:pPr>
              <w:pStyle w:val="Compact"/>
            </w:pPr>
            <w:r>
              <w:t xml:space="preserve">Pilot Evidence</w:t>
            </w:r>
          </w:p>
        </w:tc>
        <w:tc>
          <w:tcPr/>
          <w:p>
            <w:pPr>
              <w:pStyle w:val="Compact"/>
            </w:pPr>
            <w:r>
              <w:t xml:space="preserve">Status at Exit</w:t>
            </w:r>
          </w:p>
        </w:tc>
        <w:tc>
          <w:tcPr/>
          <w:p>
            <w:pPr>
              <w:pStyle w:val="Compact"/>
            </w:pPr>
            <w:r>
              <w:t xml:space="preserve">Forward Position</w:t>
            </w:r>
          </w:p>
        </w:tc>
      </w:tr>
      <w:tr>
        <w:tc>
          <w:tcPr/>
          <w:p>
            <w:pPr>
              <w:pStyle w:val="Compact"/>
            </w:pPr>
            <w:r>
              <w:t xml:space="preserve">Canonical AML execution</w:t>
            </w:r>
          </w:p>
        </w:tc>
        <w:tc>
          <w:tcPr/>
          <w:p>
            <w:pPr>
              <w:pStyle w:val="Compact"/>
            </w:pPr>
            <w:r>
              <w:t xml:space="preserve">Live</w:t>
            </w:r>
          </w:p>
        </w:tc>
        <w:tc>
          <w:tcPr/>
          <w:p>
            <w:pPr>
              <w:pStyle w:val="Compact"/>
            </w:pPr>
            <w:r>
              <w:t xml:space="preserve">PASS for tested path</w:t>
            </w:r>
          </w:p>
        </w:tc>
        <w:tc>
          <w:tcPr/>
          <w:p>
            <w:pPr>
              <w:pStyle w:val="Compact"/>
            </w:pPr>
            <w:r>
              <w:t xml:space="preserve">Retain; harden history dependency in institutional phase</w:t>
            </w:r>
          </w:p>
        </w:tc>
      </w:tr>
      <w:tr>
        <w:tc>
          <w:tcPr/>
          <w:p>
            <w:pPr>
              <w:pStyle w:val="Compact"/>
            </w:pPr>
            <w:r>
              <w:t xml:space="preserve">AML multiple findings</w:t>
            </w:r>
          </w:p>
        </w:tc>
        <w:tc>
          <w:tcPr/>
          <w:p>
            <w:pPr>
              <w:pStyle w:val="Compact"/>
            </w:pPr>
            <w:r>
              <w:t xml:space="preserve">Live</w:t>
            </w:r>
          </w:p>
        </w:tc>
        <w:tc>
          <w:tcPr/>
          <w:p>
            <w:pPr>
              <w:pStyle w:val="Compact"/>
            </w:pPr>
            <w:r>
              <w:t xml:space="preserve">PASS</w:t>
            </w:r>
          </w:p>
        </w:tc>
        <w:tc>
          <w:tcPr/>
          <w:p>
            <w:pPr>
              <w:pStyle w:val="Compact"/>
            </w:pPr>
            <w:r>
              <w:t xml:space="preserve">Retain</w:t>
            </w:r>
          </w:p>
        </w:tc>
      </w:tr>
      <w:tr>
        <w:tc>
          <w:tcPr/>
          <w:p>
            <w:pPr>
              <w:pStyle w:val="Compact"/>
            </w:pPr>
            <w:r>
              <w:t xml:space="preserve">AML structuring</w:t>
            </w:r>
          </w:p>
        </w:tc>
        <w:tc>
          <w:tcPr/>
          <w:p>
            <w:pPr>
              <w:pStyle w:val="Compact"/>
            </w:pPr>
            <w:r>
              <w:t xml:space="preserve">Registered but default history source returns zero</w:t>
            </w:r>
          </w:p>
        </w:tc>
        <w:tc>
          <w:tcPr/>
          <w:p>
            <w:pPr>
              <w:pStyle w:val="Compact"/>
            </w:pPr>
            <w:r>
              <w:t xml:space="preserve">OBSERVATION / DEFER</w:t>
            </w:r>
          </w:p>
        </w:tc>
        <w:tc>
          <w:tcPr/>
          <w:p>
            <w:pPr>
              <w:pStyle w:val="Compact"/>
            </w:pPr>
            <w:r>
              <w:t xml:space="preserve">Institutional dependency semantics</w:t>
            </w:r>
          </w:p>
        </w:tc>
      </w:tr>
      <w:tr>
        <w:tc>
          <w:tcPr/>
          <w:p>
            <w:pPr>
              <w:pStyle w:val="Compact"/>
            </w:pPr>
            <w:r>
              <w:t xml:space="preserve">AML velocity / rapid movement</w:t>
            </w:r>
          </w:p>
        </w:tc>
        <w:tc>
          <w:tcPr/>
          <w:p>
            <w:pPr>
              <w:pStyle w:val="Compact"/>
            </w:pPr>
            <w:r>
              <w:t xml:space="preserve">Exists outside canonical AML path</w:t>
            </w:r>
          </w:p>
        </w:tc>
        <w:tc>
          <w:tcPr/>
          <w:p>
            <w:pPr>
              <w:pStyle w:val="Compact"/>
            </w:pPr>
            <w:r>
              <w:t xml:space="preserve">OBSERVATION / DEFER</w:t>
            </w:r>
          </w:p>
        </w:tc>
        <w:tc>
          <w:tcPr/>
          <w:p>
            <w:pPr>
              <w:pStyle w:val="Compact"/>
            </w:pPr>
            <w:r>
              <w:t xml:space="preserve">Reconcile ownership before promotion</w:t>
            </w:r>
          </w:p>
        </w:tc>
      </w:tr>
      <w:tr>
        <w:tc>
          <w:tcPr/>
          <w:p>
            <w:pPr>
              <w:pStyle w:val="Compact"/>
            </w:pPr>
            <w:r>
              <w:t xml:space="preserve">AML ML anomaly</w:t>
            </w:r>
          </w:p>
        </w:tc>
        <w:tc>
          <w:tcPr/>
          <w:p>
            <w:pPr>
              <w:pStyle w:val="Compact"/>
            </w:pPr>
            <w:r>
              <w:t xml:space="preserve">Repository implementation exists, not canonical-registered</w:t>
            </w:r>
          </w:p>
        </w:tc>
        <w:tc>
          <w:tcPr/>
          <w:p>
            <w:pPr>
              <w:pStyle w:val="Compact"/>
            </w:pPr>
            <w:r>
              <w:t xml:space="preserve">OBSERVATION / DEFER</w:t>
            </w:r>
          </w:p>
        </w:tc>
        <w:tc>
          <w:tcPr/>
          <w:p>
            <w:pPr>
              <w:pStyle w:val="Compact"/>
            </w:pPr>
            <w:r>
              <w:t xml:space="preserve">Explicit runtime registration + model/version governance</w:t>
            </w:r>
          </w:p>
        </w:tc>
      </w:tr>
      <w:tr>
        <w:tc>
          <w:tcPr/>
          <w:p>
            <w:pPr>
              <w:pStyle w:val="Compact"/>
            </w:pPr>
            <w:r>
              <w:t xml:space="preserve">Fraud signal execution</w:t>
            </w:r>
          </w:p>
        </w:tc>
        <w:tc>
          <w:tcPr/>
          <w:p>
            <w:pPr>
              <w:pStyle w:val="Compact"/>
            </w:pPr>
            <w:r>
              <w:t xml:space="preserve">Live</w:t>
            </w:r>
          </w:p>
        </w:tc>
        <w:tc>
          <w:tcPr/>
          <w:p>
            <w:pPr>
              <w:pStyle w:val="Compact"/>
            </w:pPr>
            <w:r>
              <w:t xml:space="preserve">PASS for tested signals</w:t>
            </w:r>
          </w:p>
        </w:tc>
        <w:tc>
          <w:tcPr/>
          <w:p>
            <w:pPr>
              <w:pStyle w:val="Compact"/>
            </w:pPr>
            <w:r>
              <w:t xml:space="preserve">Retain</w:t>
            </w:r>
          </w:p>
        </w:tc>
      </w:tr>
      <w:tr>
        <w:tc>
          <w:tcPr/>
          <w:p>
            <w:pPr>
              <w:pStyle w:val="Compact"/>
            </w:pPr>
            <w:r>
              <w:t xml:space="preserve">Fraud high velocity</w:t>
            </w:r>
          </w:p>
        </w:tc>
        <w:tc>
          <w:tcPr/>
          <w:p>
            <w:pPr>
              <w:pStyle w:val="Compact"/>
            </w:pPr>
            <w:r>
              <w:t xml:space="preserve">Not proven in canonical positive path</w:t>
            </w:r>
          </w:p>
        </w:tc>
        <w:tc>
          <w:tcPr/>
          <w:p>
            <w:pPr>
              <w:pStyle w:val="Compact"/>
            </w:pPr>
            <w:r>
              <w:t xml:space="preserve">OBSERVATION / DEFER</w:t>
            </w:r>
          </w:p>
        </w:tc>
        <w:tc>
          <w:tcPr/>
          <w:p>
            <w:pPr>
              <w:pStyle w:val="Compact"/>
            </w:pPr>
            <w:r>
              <w:t xml:space="preserve">Dependency-backed runtime proof</w:t>
            </w:r>
          </w:p>
        </w:tc>
      </w:tr>
      <w:tr>
        <w:tc>
          <w:tcPr/>
          <w:p>
            <w:pPr>
              <w:pStyle w:val="Compact"/>
            </w:pPr>
            <w:r>
              <w:t xml:space="preserve">Sanctions match / clear</w:t>
            </w:r>
          </w:p>
        </w:tc>
        <w:tc>
          <w:tcPr/>
          <w:p>
            <w:pPr>
              <w:pStyle w:val="Compact"/>
            </w:pPr>
            <w:r>
              <w:t xml:space="preserve">Live</w:t>
            </w:r>
          </w:p>
        </w:tc>
        <w:tc>
          <w:tcPr/>
          <w:p>
            <w:pPr>
              <w:pStyle w:val="Compact"/>
            </w:pPr>
            <w:r>
              <w:t xml:space="preserve">PASS</w:t>
            </w:r>
          </w:p>
        </w:tc>
        <w:tc>
          <w:tcPr/>
          <w:p>
            <w:pPr>
              <w:pStyle w:val="Compact"/>
            </w:pPr>
            <w:r>
              <w:t xml:space="preserve">Retain</w:t>
            </w:r>
          </w:p>
        </w:tc>
      </w:tr>
      <w:tr>
        <w:tc>
          <w:tcPr/>
          <w:p>
            <w:pPr>
              <w:pStyle w:val="Compact"/>
            </w:pPr>
            <w:r>
              <w:t xml:space="preserve">Sanctions control precedence</w:t>
            </w:r>
          </w:p>
        </w:tc>
        <w:tc>
          <w:tcPr/>
          <w:p>
            <w:pPr>
              <w:pStyle w:val="Compact"/>
            </w:pPr>
            <w:r>
              <w:t xml:space="preserve">Live</w:t>
            </w:r>
          </w:p>
        </w:tc>
        <w:tc>
          <w:tcPr/>
          <w:p>
            <w:pPr>
              <w:pStyle w:val="Compact"/>
            </w:pPr>
            <w:r>
              <w:t xml:space="preserve">PASS</w:t>
            </w:r>
          </w:p>
        </w:tc>
        <w:tc>
          <w:tcPr/>
          <w:p>
            <w:pPr>
              <w:pStyle w:val="Compact"/>
            </w:pPr>
            <w:r>
              <w:t xml:space="preserve">Retain as policy-layer behavior</w:t>
            </w:r>
          </w:p>
        </w:tc>
      </w:tr>
      <w:tr>
        <w:tc>
          <w:tcPr/>
          <w:p>
            <w:pPr>
              <w:pStyle w:val="Compact"/>
            </w:pPr>
            <w:r>
              <w:t xml:space="preserve">Sanctions provider failure semantics</w:t>
            </w:r>
          </w:p>
        </w:tc>
        <w:tc>
          <w:tcPr/>
          <w:p>
            <w:pPr>
              <w:pStyle w:val="Compact"/>
            </w:pPr>
            <w:r>
              <w:t xml:space="preserve">Test-verified, live outage not drilled</w:t>
            </w:r>
          </w:p>
        </w:tc>
        <w:tc>
          <w:tcPr/>
          <w:p>
            <w:pPr>
              <w:pStyle w:val="Compact"/>
            </w:pPr>
            <w:r>
              <w:t xml:space="preserve">OBSERVATION</w:t>
            </w:r>
          </w:p>
        </w:tc>
        <w:tc>
          <w:tcPr/>
          <w:p>
            <w:pPr>
              <w:pStyle w:val="Compact"/>
            </w:pPr>
            <w:r>
              <w:t xml:space="preserve">Execute operational dependency drill</w:t>
            </w:r>
          </w:p>
        </w:tc>
      </w:tr>
      <w:tr>
        <w:tc>
          <w:tcPr/>
          <w:p>
            <w:pPr>
              <w:pStyle w:val="Compact"/>
            </w:pPr>
            <w:r>
              <w:t xml:space="preserve">KYC clean / adverse findings</w:t>
            </w:r>
          </w:p>
        </w:tc>
        <w:tc>
          <w:tcPr/>
          <w:p>
            <w:pPr>
              <w:pStyle w:val="Compact"/>
            </w:pPr>
            <w:r>
              <w:t xml:space="preserve">Live</w:t>
            </w:r>
          </w:p>
        </w:tc>
        <w:tc>
          <w:tcPr/>
          <w:p>
            <w:pPr>
              <w:pStyle w:val="Compact"/>
            </w:pPr>
            <w:r>
              <w:t xml:space="preserve">PASS for tested paths</w:t>
            </w:r>
          </w:p>
        </w:tc>
        <w:tc>
          <w:tcPr/>
          <w:p>
            <w:pPr>
              <w:pStyle w:val="Compact"/>
            </w:pPr>
            <w:r>
              <w:t xml:space="preserve">Retain</w:t>
            </w:r>
          </w:p>
        </w:tc>
      </w:tr>
      <w:tr>
        <w:tc>
          <w:tcPr/>
          <w:p>
            <w:pPr>
              <w:pStyle w:val="Compact"/>
            </w:pPr>
            <w:r>
              <w:t xml:space="preserve">Independent KYC verification</w:t>
            </w:r>
          </w:p>
        </w:tc>
        <w:tc>
          <w:tcPr/>
          <w:p>
            <w:pPr>
              <w:pStyle w:val="Compact"/>
            </w:pPr>
            <w:r>
              <w:t xml:space="preserve">Not provider-proven</w:t>
            </w:r>
          </w:p>
        </w:tc>
        <w:tc>
          <w:tcPr/>
          <w:p>
            <w:pPr>
              <w:pStyle w:val="Compact"/>
            </w:pPr>
            <w:r>
              <w:t xml:space="preserve">OBSERVATION / DEFER</w:t>
            </w:r>
          </w:p>
        </w:tc>
        <w:tc>
          <w:tcPr/>
          <w:p>
            <w:pPr>
              <w:pStyle w:val="Compact"/>
            </w:pPr>
            <w:r>
              <w:t xml:space="preserve">Institutional provider contract</w:t>
            </w:r>
          </w:p>
        </w:tc>
      </w:tr>
      <w:tr>
        <w:tc>
          <w:tcPr/>
          <w:p>
            <w:pPr>
              <w:pStyle w:val="Compact"/>
            </w:pPr>
            <w:r>
              <w:t xml:space="preserve">KYB / UBO verified and unverified propagation</w:t>
            </w:r>
          </w:p>
        </w:tc>
        <w:tc>
          <w:tcPr/>
          <w:p>
            <w:pPr>
              <w:pStyle w:val="Compact"/>
            </w:pPr>
            <w:r>
              <w:t xml:space="preserve">Live</w:t>
            </w:r>
          </w:p>
        </w:tc>
        <w:tc>
          <w:tcPr/>
          <w:p>
            <w:pPr>
              <w:pStyle w:val="Compact"/>
            </w:pPr>
            <w:r>
              <w:t xml:space="preserve">PASS for tested paths</w:t>
            </w:r>
          </w:p>
        </w:tc>
        <w:tc>
          <w:tcPr/>
          <w:p>
            <w:pPr>
              <w:pStyle w:val="Compact"/>
            </w:pPr>
            <w:r>
              <w:t xml:space="preserve">Retain canonical UBO capability</w:t>
            </w:r>
          </w:p>
        </w:tc>
      </w:tr>
      <w:tr>
        <w:tc>
          <w:tcPr/>
          <w:p>
            <w:pPr>
              <w:pStyle w:val="Compact"/>
            </w:pPr>
            <w:r>
              <w:t xml:space="preserve">KYB / UBO independent verification depth</w:t>
            </w:r>
          </w:p>
        </w:tc>
        <w:tc>
          <w:tcPr/>
          <w:p>
            <w:pPr>
              <w:pStyle w:val="Compact"/>
            </w:pPr>
            <w:r>
              <w:t xml:space="preserve">Not fully proven</w:t>
            </w:r>
          </w:p>
        </w:tc>
        <w:tc>
          <w:tcPr/>
          <w:p>
            <w:pPr>
              <w:pStyle w:val="Compact"/>
            </w:pPr>
            <w:r>
              <w:t xml:space="preserve">OBSERVATION / DEFER</w:t>
            </w:r>
          </w:p>
        </w:tc>
        <w:tc>
          <w:tcPr/>
          <w:p>
            <w:pPr>
              <w:pStyle w:val="Compact"/>
            </w:pPr>
            <w:r>
              <w:t xml:space="preserve">Provenance + provider integration</w:t>
            </w:r>
          </w:p>
        </w:tc>
      </w:tr>
      <w:tr>
        <w:tc>
          <w:tcPr/>
          <w:p>
            <w:pPr>
              <w:pStyle w:val="Compact"/>
            </w:pPr>
            <w:r>
              <w:t xml:space="preserve">Graph runtime reachability</w:t>
            </w:r>
          </w:p>
        </w:tc>
        <w:tc>
          <w:tcPr/>
          <w:p>
            <w:pPr>
              <w:pStyle w:val="Compact"/>
            </w:pPr>
            <w:r>
              <w:t xml:space="preserve">Live</w:t>
            </w:r>
          </w:p>
        </w:tc>
        <w:tc>
          <w:tcPr/>
          <w:p>
            <w:pPr>
              <w:pStyle w:val="Compact"/>
            </w:pPr>
            <w:r>
              <w:t xml:space="preserve">PASS for reachability</w:t>
            </w:r>
          </w:p>
        </w:tc>
        <w:tc>
          <w:tcPr/>
          <w:p>
            <w:pPr>
              <w:pStyle w:val="Compact"/>
            </w:pPr>
            <w:r>
              <w:t xml:space="preserve">Keep path; do not trust positive detection yet</w:t>
            </w:r>
          </w:p>
        </w:tc>
      </w:tr>
      <w:tr>
        <w:tc>
          <w:tcPr/>
          <w:p>
            <w:pPr>
              <w:pStyle w:val="Compact"/>
            </w:pPr>
            <w:r>
              <w:t xml:space="preserve">Graph positive detection</w:t>
            </w:r>
          </w:p>
        </w:tc>
        <w:tc>
          <w:tcPr/>
          <w:p>
            <w:pPr>
              <w:pStyle w:val="Compact"/>
            </w:pPr>
            <w:r>
              <w:t xml:space="preserve">Row-shape mismatch identified</w:t>
            </w:r>
          </w:p>
        </w:tc>
        <w:tc>
          <w:tcPr/>
          <w:p>
            <w:pPr>
              <w:pStyle w:val="Compact"/>
            </w:pPr>
            <w:r>
              <w:rPr>
                <w:b/>
                <w:bCs/>
              </w:rPr>
              <w:t xml:space="preserve">UNPROVEN / DEFER</w:t>
            </w:r>
          </w:p>
        </w:tc>
        <w:tc>
          <w:tcPr/>
          <w:p>
            <w:pPr>
              <w:pStyle w:val="Compact"/>
            </w:pPr>
            <w:r>
              <w:t xml:space="preserve">Correct repository/service contract, then re-probe</w:t>
            </w:r>
          </w:p>
        </w:tc>
      </w:tr>
      <w:tr>
        <w:tc>
          <w:tcPr/>
          <w:p>
            <w:pPr>
              <w:pStyle w:val="Compact"/>
            </w:pPr>
            <w:r>
              <w:t xml:space="preserve">Evidence collection</w:t>
            </w:r>
          </w:p>
        </w:tc>
        <w:tc>
          <w:tcPr/>
          <w:p>
            <w:pPr>
              <w:pStyle w:val="Compact"/>
            </w:pPr>
            <w:r>
              <w:t xml:space="preserve">Live across tested paths</w:t>
            </w:r>
          </w:p>
        </w:tc>
        <w:tc>
          <w:tcPr/>
          <w:p>
            <w:pPr>
              <w:pStyle w:val="Compact"/>
            </w:pPr>
            <w:r>
              <w:t xml:space="preserve">PASS</w:t>
            </w:r>
          </w:p>
        </w:tc>
        <w:tc>
          <w:tcPr/>
          <w:p>
            <w:pPr>
              <w:pStyle w:val="Compact"/>
            </w:pPr>
            <w:r>
              <w:t xml:space="preserve">Institutional lineage enrichment</w:t>
            </w:r>
          </w:p>
        </w:tc>
      </w:tr>
      <w:tr>
        <w:tc>
          <w:tcPr/>
          <w:p>
            <w:pPr>
              <w:pStyle w:val="Compact"/>
            </w:pPr>
            <w:r>
              <w:t xml:space="preserve">Decision persistence</w:t>
            </w:r>
          </w:p>
        </w:tc>
        <w:tc>
          <w:tcPr/>
          <w:p>
            <w:pPr>
              <w:pStyle w:val="Compact"/>
            </w:pPr>
            <w:r>
              <w:t xml:space="preserve">Live</w:t>
            </w:r>
          </w:p>
        </w:tc>
        <w:tc>
          <w:tcPr/>
          <w:p>
            <w:pPr>
              <w:pStyle w:val="Compact"/>
            </w:pPr>
            <w:r>
              <w:t xml:space="preserve">PASS</w:t>
            </w:r>
          </w:p>
        </w:tc>
        <w:tc>
          <w:tcPr/>
          <w:p>
            <w:pPr>
              <w:pStyle w:val="Compact"/>
            </w:pPr>
            <w:r>
              <w:t xml:space="preserve">Retain</w:t>
            </w:r>
          </w:p>
        </w:tc>
      </w:tr>
      <w:tr>
        <w:tc>
          <w:tcPr/>
          <w:p>
            <w:pPr>
              <w:pStyle w:val="Compact"/>
            </w:pPr>
            <w:r>
              <w:t xml:space="preserve">Decision DNA persistence</w:t>
            </w:r>
          </w:p>
        </w:tc>
        <w:tc>
          <w:tcPr/>
          <w:p>
            <w:pPr>
              <w:pStyle w:val="Compact"/>
            </w:pPr>
            <w:r>
              <w:t xml:space="preserve">Live</w:t>
            </w:r>
          </w:p>
        </w:tc>
        <w:tc>
          <w:tcPr/>
          <w:p>
            <w:pPr>
              <w:pStyle w:val="Compact"/>
            </w:pPr>
            <w:r>
              <w:t xml:space="preserve">PASS for tested paths</w:t>
            </w:r>
          </w:p>
        </w:tc>
        <w:tc>
          <w:tcPr/>
          <w:p>
            <w:pPr>
              <w:pStyle w:val="Compact"/>
            </w:pPr>
            <w:r>
              <w:t xml:space="preserve">Expand version/provenance capture</w:t>
            </w:r>
          </w:p>
        </w:tc>
      </w:tr>
      <w:tr>
        <w:tc>
          <w:tcPr/>
          <w:p>
            <w:pPr>
              <w:pStyle w:val="Compact"/>
            </w:pPr>
            <w:r>
              <w:t xml:space="preserve">Audit persistence / integrity</w:t>
            </w:r>
          </w:p>
        </w:tc>
        <w:tc>
          <w:tcPr/>
          <w:p>
            <w:pPr>
              <w:pStyle w:val="Compact"/>
            </w:pPr>
            <w:r>
              <w:t xml:space="preserve">Live, 5-event chains observed</w:t>
            </w:r>
          </w:p>
        </w:tc>
        <w:tc>
          <w:tcPr/>
          <w:p>
            <w:pPr>
              <w:pStyle w:val="Compact"/>
            </w:pPr>
            <w:r>
              <w:t xml:space="preserve">PASS for tested paths</w:t>
            </w:r>
          </w:p>
        </w:tc>
        <w:tc>
          <w:tcPr/>
          <w:p>
            <w:pPr>
              <w:pStyle w:val="Compact"/>
            </w:pPr>
            <w:r>
              <w:t xml:space="preserve">Retain; extend operational coverage</w:t>
            </w:r>
          </w:p>
        </w:tc>
      </w:tr>
      <w:tr>
        <w:tc>
          <w:tcPr/>
          <w:p>
            <w:pPr>
              <w:pStyle w:val="Compact"/>
            </w:pPr>
            <w:r>
              <w:t xml:space="preserve">Policy precedence</w:t>
            </w:r>
          </w:p>
        </w:tc>
        <w:tc>
          <w:tcPr/>
          <w:p>
            <w:pPr>
              <w:pStyle w:val="Compact"/>
            </w:pPr>
            <w:r>
              <w:t xml:space="preserve">Sanctions path proven</w:t>
            </w:r>
          </w:p>
        </w:tc>
        <w:tc>
          <w:tcPr/>
          <w:p>
            <w:pPr>
              <w:pStyle w:val="Compact"/>
            </w:pPr>
            <w:r>
              <w:t xml:space="preserve">PASS within tested control</w:t>
            </w:r>
          </w:p>
        </w:tc>
        <w:tc>
          <w:tcPr/>
          <w:p>
            <w:pPr>
              <w:pStyle w:val="Compact"/>
            </w:pPr>
            <w:r>
              <w:t xml:space="preserve">Extend to formal regulatory/control hierarchy</w:t>
            </w:r>
          </w:p>
        </w:tc>
      </w:tr>
      <w:tr>
        <w:tc>
          <w:tcPr/>
          <w:p>
            <w:pPr>
              <w:pStyle w:val="Compact"/>
            </w:pPr>
            <w:r>
              <w:t xml:space="preserve">Cross-engine numeric aggregation</w:t>
            </w:r>
          </w:p>
        </w:tc>
        <w:tc>
          <w:tcPr/>
          <w:p>
            <w:pPr>
              <w:pStyle w:val="Compact"/>
            </w:pPr>
            <w:r>
              <w:t xml:space="preserve">Live, adverse dilution observed</w:t>
            </w:r>
          </w:p>
        </w:tc>
        <w:tc>
          <w:tcPr/>
          <w:p>
            <w:pPr>
              <w:pStyle w:val="Compact"/>
            </w:pPr>
            <w:r>
              <w:rPr>
                <w:b/>
                <w:bCs/>
              </w:rPr>
              <w:t xml:space="preserve">OBSERVATION / DEFER</w:t>
            </w:r>
          </w:p>
        </w:tc>
        <w:tc>
          <w:tcPr/>
          <w:p>
            <w:pPr>
              <w:pStyle w:val="Compact"/>
            </w:pPr>
            <w:r>
              <w:t xml:space="preserve">First institutional semantics work item</w:t>
            </w:r>
          </w:p>
        </w:tc>
      </w:tr>
      <w:tr>
        <w:tc>
          <w:tcPr/>
          <w:p>
            <w:pPr>
              <w:pStyle w:val="Compact"/>
            </w:pPr>
            <w:r>
              <w:t xml:space="preserve">Semantic-state-aware authorization</w:t>
            </w:r>
          </w:p>
        </w:tc>
        <w:tc>
          <w:tcPr/>
          <w:p>
            <w:pPr>
              <w:pStyle w:val="Compact"/>
            </w:pPr>
            <w:r>
              <w:t xml:space="preserve">Not yet implemented</w:t>
            </w:r>
          </w:p>
        </w:tc>
        <w:tc>
          <w:tcPr/>
          <w:p>
            <w:pPr>
              <w:pStyle w:val="Compact"/>
            </w:pPr>
            <w:r>
              <w:rPr>
                <w:b/>
                <w:bCs/>
              </w:rPr>
              <w:t xml:space="preserve">DEFERRED</w:t>
            </w:r>
          </w:p>
        </w:tc>
        <w:tc>
          <w:tcPr/>
          <w:p>
            <w:pPr>
              <w:pStyle w:val="Compact"/>
            </w:pPr>
            <w:r>
              <w:t xml:space="preserve">Institutional Risk Semantics</w:t>
            </w:r>
          </w:p>
        </w:tc>
      </w:tr>
      <w:tr>
        <w:tc>
          <w:tcPr/>
          <w:p>
            <w:pPr>
              <w:pStyle w:val="Compact"/>
            </w:pPr>
            <w:r>
              <w:t xml:space="preserve">Tenant isolation</w:t>
            </w:r>
          </w:p>
        </w:tc>
        <w:tc>
          <w:tcPr/>
          <w:p>
            <w:pPr>
              <w:pStyle w:val="Compact"/>
            </w:pPr>
            <w:r>
              <w:t xml:space="preserve">Required assurance gate, not yet fully closed</w:t>
            </w:r>
          </w:p>
        </w:tc>
        <w:tc>
          <w:tcPr/>
          <w:p>
            <w:pPr>
              <w:pStyle w:val="Compact"/>
            </w:pPr>
            <w:r>
              <w:t xml:space="preserve">OPEN</w:t>
            </w:r>
          </w:p>
        </w:tc>
        <w:tc>
          <w:tcPr/>
          <w:p>
            <w:pPr>
              <w:pStyle w:val="Compact"/>
            </w:pPr>
            <w:r>
              <w:t xml:space="preserve">Security/FSV work</w:t>
            </w:r>
          </w:p>
        </w:tc>
      </w:tr>
      <w:tr>
        <w:tc>
          <w:tcPr/>
          <w:p>
            <w:pPr>
              <w:pStyle w:val="Compact"/>
            </w:pPr>
            <w:r>
              <w:t xml:space="preserve">Historical replay</w:t>
            </w:r>
          </w:p>
        </w:tc>
        <w:tc>
          <w:tcPr/>
          <w:p>
            <w:pPr>
              <w:pStyle w:val="Compact"/>
            </w:pPr>
            <w:r>
              <w:t xml:space="preserve">Required assurance gate, not yet fully closed</w:t>
            </w:r>
          </w:p>
        </w:tc>
        <w:tc>
          <w:tcPr/>
          <w:p>
            <w:pPr>
              <w:pStyle w:val="Compact"/>
            </w:pPr>
            <w:r>
              <w:t xml:space="preserve">OPEN</w:t>
            </w:r>
          </w:p>
        </w:tc>
        <w:tc>
          <w:tcPr/>
          <w:p>
            <w:pPr>
              <w:pStyle w:val="Compact"/>
            </w:pPr>
            <w:r>
              <w:t xml:space="preserve">Institutional assurance work</w:t>
            </w:r>
          </w:p>
        </w:tc>
      </w:tr>
      <w:tr>
        <w:tc>
          <w:tcPr/>
          <w:p>
            <w:pPr>
              <w:pStyle w:val="Compact"/>
            </w:pPr>
            <w:r>
              <w:t xml:space="preserve">Performance evidence</w:t>
            </w:r>
          </w:p>
        </w:tc>
        <w:tc>
          <w:tcPr/>
          <w:p>
            <w:pPr>
              <w:pStyle w:val="Compact"/>
            </w:pPr>
            <w:r>
              <w:t xml:space="preserve">Required assurance gate, not yet fully closed</w:t>
            </w:r>
          </w:p>
        </w:tc>
        <w:tc>
          <w:tcPr/>
          <w:p>
            <w:pPr>
              <w:pStyle w:val="Compact"/>
            </w:pPr>
            <w:r>
              <w:t xml:space="preserve">OPEN</w:t>
            </w:r>
          </w:p>
        </w:tc>
        <w:tc>
          <w:tcPr/>
          <w:p>
            <w:pPr>
              <w:pStyle w:val="Compact"/>
            </w:pPr>
            <w:r>
              <w:t xml:space="preserve">FSV</w:t>
            </w:r>
          </w:p>
        </w:tc>
      </w:tr>
      <w:tr>
        <w:tc>
          <w:tcPr/>
          <w:p>
            <w:pPr>
              <w:pStyle w:val="Compact"/>
            </w:pPr>
            <w:r>
              <w:t xml:space="preserve">Full System Validation</w:t>
            </w:r>
          </w:p>
        </w:tc>
        <w:tc>
          <w:tcPr/>
          <w:p>
            <w:pPr>
              <w:pStyle w:val="Compact"/>
            </w:pPr>
            <w:r>
              <w:t xml:space="preserve">Not final-closure evidence</w:t>
            </w:r>
          </w:p>
        </w:tc>
        <w:tc>
          <w:tcPr/>
          <w:p>
            <w:pPr>
              <w:pStyle w:val="Compact"/>
            </w:pPr>
            <w:r>
              <w:t xml:space="preserve">OPEN</w:t>
            </w:r>
          </w:p>
        </w:tc>
        <w:tc>
          <w:tcPr/>
          <w:p>
            <w:pPr>
              <w:pStyle w:val="Compact"/>
            </w:pPr>
            <w:r>
              <w:t xml:space="preserve">Final closure gate</w:t>
            </w:r>
          </w:p>
        </w:tc>
      </w:tr>
      <w:tr>
        <w:tc>
          <w:tcPr/>
          <w:p>
            <w:pPr>
              <w:pStyle w:val="Compact"/>
            </w:pPr>
            <w:r>
              <w:t xml:space="preserve">Security Assurance</w:t>
            </w:r>
          </w:p>
        </w:tc>
        <w:tc>
          <w:tcPr/>
          <w:p>
            <w:pPr>
              <w:pStyle w:val="Compact"/>
            </w:pPr>
            <w:r>
              <w:t xml:space="preserve">Not final-closure evidence</w:t>
            </w:r>
          </w:p>
        </w:tc>
        <w:tc>
          <w:tcPr/>
          <w:p>
            <w:pPr>
              <w:pStyle w:val="Compact"/>
            </w:pPr>
            <w:r>
              <w:t xml:space="preserve">OPEN</w:t>
            </w:r>
          </w:p>
        </w:tc>
        <w:tc>
          <w:tcPr/>
          <w:p>
            <w:pPr>
              <w:pStyle w:val="Compact"/>
            </w:pPr>
            <w:r>
              <w:t xml:space="preserve">Final closure gate</w:t>
            </w:r>
          </w:p>
        </w:tc>
      </w:tr>
    </w:tbl>
    <w:p>
      <w:pPr>
        <w:pStyle w:val="FirstParagraph"/>
      </w:pPr>
      <w:r>
        <w:t xml:space="preserve">Wave 1 confirms that the canonical AML runtime is the active authority while some capabilities remain outside that canonical path or depend on non-production history behavior. fileciteturn101file0L2-L2</w:t>
      </w:r>
    </w:p>
    <w:p>
      <w:pPr>
        <w:pStyle w:val="BodyText"/>
      </w:pPr>
      <w:r>
        <w:t xml:space="preserve">The Engine Assurance Closure also defines tenant isolation, replay, dependency-failure semantics, version capture, provenance, performance, Full System Validation, and Security Assurance as hard closure gates rather than documentation-only items. fileciteturn103file0L2-L2</w:t>
      </w:r>
    </w:p>
    <w:p>
      <w:r>
        <w:pict>
          <v:rect style="width:0;height:1.5pt" o:hralign="center" o:hrstd="t" o:hr="t"/>
        </w:pict>
      </w:r>
    </w:p>
    <w:p>
      <w:pPr>
        <w:pStyle w:val="Heading2"/>
      </w:pPr>
      <w:bookmarkStart w:id="14" w:name="_b500346bdd38945207734d37e4a5edf04ca40a5"/>
      <w:r>
        <w:t xml:space="preserve">4. Critical Findings</w:t>
      </w:r>
    </w:p>
    <w:p>
      <w:pPr>
        <w:pStyle w:val="Heading3"/>
      </w:pPr>
      <w:bookmarkStart w:id="15" w:name="_16942a9255cef304c9a0d0318a58a4d2e4ec9ef"/>
      <w:r>
        <w:t xml:space="preserve">4.1 Detection Pipeline</w:t>
      </w:r>
    </w:p>
    <w:p>
      <w:pPr>
        <w:pStyle w:val="FirstParagraph"/>
      </w:pPr>
      <w:r>
        <w:rPr>
          <w:b/>
          <w:bCs/>
        </w:rPr>
        <w:t xml:space="preserve">PASS for the tested pilot paths.</w:t>
      </w:r>
    </w:p>
    <w:p>
      <w:pPr>
        <w:pStyle w:val="BodyText"/>
      </w:pPr>
      <w:r>
        <w:t xml:space="preserve">The tested AML, Fraud, Sanctions, KYC, and KYB paths generated executable findings or clear outcomes, propagated evidence, and produced persisted decisions. Graph is excluded from the positive conclusion because Wave 5 identified an unresolved repository/service row-shape mismatch.</w:t>
      </w:r>
    </w:p>
    <w:p>
      <w:pPr>
        <w:pStyle w:val="Heading3"/>
      </w:pPr>
      <w:bookmarkStart w:id="16" w:name="_c24b97b12f8c1789a65bf05f2938526d68a2004"/>
      <w:r>
        <w:t xml:space="preserve">4.2 Evidence, Decision DNA, and Audit</w:t>
      </w:r>
    </w:p>
    <w:p>
      <w:pPr>
        <w:pStyle w:val="FirstParagraph"/>
      </w:pPr>
      <w:r>
        <w:rPr>
          <w:b/>
          <w:bCs/>
        </w:rPr>
        <w:t xml:space="preserve">PASS for tested paths.</w:t>
      </w:r>
    </w:p>
    <w:p>
      <w:pPr>
        <w:pStyle w:val="BodyText"/>
      </w:pPr>
      <w:r>
        <w:t xml:space="preserve">The assessed scenarios demonstrated evidence persistence, Decision DNA persistence, audit persistence, and valid five-event audit chains. This is sufficient to establish the current decision trace backbone for the controlled pilot while leaving deeper provenance and versioning closure work open.</w:t>
      </w:r>
    </w:p>
    <w:p>
      <w:pPr>
        <w:pStyle w:val="Heading3"/>
      </w:pPr>
      <w:bookmarkStart w:id="17" w:name="_24f6d02b0c86a706f38e11b7c8cb94ef2f08ddc"/>
      <w:r>
        <w:t xml:space="preserve">4.3 Decision Persistence</w:t>
      </w:r>
    </w:p>
    <w:p>
      <w:pPr>
        <w:pStyle w:val="FirstParagraph"/>
      </w:pPr>
      <w:r>
        <w:rPr>
          <w:b/>
          <w:bCs/>
        </w:rPr>
        <w:t xml:space="preserve">PASS.</w:t>
      </w:r>
    </w:p>
    <w:p>
      <w:pPr>
        <w:pStyle w:val="BodyText"/>
      </w:pPr>
      <w:r>
        <w:t xml:space="preserve">Observed decisions persisted successfully across the tested scenarios and remained reconstructable through the current decision/audit surfaces.</w:t>
      </w:r>
    </w:p>
    <w:p>
      <w:pPr>
        <w:pStyle w:val="Heading3"/>
      </w:pPr>
      <w:bookmarkStart w:id="18" w:name="_73b624a9d4ff70f90c3c2b6c3467a7ceb63e702"/>
      <w:r>
        <w:t xml:space="preserve">4.4 Policy Precedence</w:t>
      </w:r>
    </w:p>
    <w:p>
      <w:pPr>
        <w:pStyle w:val="FirstParagraph"/>
      </w:pPr>
      <w:r>
        <w:rPr>
          <w:b/>
          <w:bCs/>
        </w:rPr>
        <w:t xml:space="preserve">PASS for the tested sanctions control path.</w:t>
      </w:r>
    </w:p>
    <w:p>
      <w:pPr>
        <w:pStyle w:val="BodyText"/>
      </w:pPr>
      <w:r>
        <w:t xml:space="preserve">Wave 6-A demonstrated that a sanctions match activates the</w:t>
      </w:r>
      <w:r>
        <w:t xml:space="preserve"> </w:t>
      </w:r>
      <w:r>
        <w:rPr>
          <w:rStyle w:val="VerbatimChar"/>
        </w:rPr>
        <w:t xml:space="preserve">AML_SANCTIONS</w:t>
      </w:r>
      <w:r>
        <w:t xml:space="preserve"> </w:t>
      </w:r>
      <w:r>
        <w:t xml:space="preserve">control and produces</w:t>
      </w:r>
      <w:r>
        <w:t xml:space="preserve"> </w:t>
      </w:r>
      <w:r>
        <w:rPr>
          <w:rStyle w:val="VerbatimChar"/>
        </w:rPr>
        <w:t xml:space="preserve">BLOCK</w:t>
      </w:r>
      <w:r>
        <w:t xml:space="preserve">, preventing a lower-priority approve policy from becoming the final action.</w:t>
      </w:r>
    </w:p>
    <w:p>
      <w:pPr>
        <w:pStyle w:val="BodyText"/>
      </w:pPr>
      <w:r>
        <w:t xml:space="preserve">This is control precedence evidence, not proof that the complete regulatory precedence hierarchy is implemented.</w:t>
      </w:r>
    </w:p>
    <w:p>
      <w:pPr>
        <w:pStyle w:val="Heading3"/>
      </w:pPr>
      <w:bookmarkStart w:id="19" w:name="_4c62538e1fc9e4d1b7b17bcf988d2d7c5cc256e"/>
      <w:r>
        <w:t xml:space="preserve">4.5 Cross-Engine Aggregation</w:t>
      </w:r>
    </w:p>
    <w:p>
      <w:pPr>
        <w:pStyle w:val="FirstParagraph"/>
      </w:pPr>
      <w:r>
        <w:rPr>
          <w:b/>
          <w:bCs/>
        </w:rPr>
        <w:t xml:space="preserve">OBSERVATION / DEFER.</w:t>
      </w:r>
    </w:p>
    <w:p>
      <w:pPr>
        <w:pStyle w:val="BodyText"/>
      </w:pPr>
      <w:r>
        <w:t xml:space="preserve">Wave 6-B demonstrated that multiple strong adverse findings can be materially diluted by the current cross-engine averaging and reach</w:t>
      </w:r>
      <w:r>
        <w:t xml:space="preserve"> </w:t>
      </w:r>
      <w:r>
        <w:rPr>
          <w:rStyle w:val="VerbatimChar"/>
        </w:rPr>
        <w:t xml:space="preserve">LOW_RISK_APPROVE</w:t>
      </w:r>
      <w:r>
        <w:t xml:space="preserve"> </w:t>
      </w:r>
      <w:r>
        <w:t xml:space="preserve">when no stronger control/policy overrides the result. The same observation was already recorded as</w:t>
      </w:r>
      <w:r>
        <w:t xml:space="preserve"> </w:t>
      </w:r>
      <w:r>
        <w:rPr>
          <w:rStyle w:val="VerbatimChar"/>
        </w:rPr>
        <w:t xml:space="preserve">DEV-RISK-SEM-001</w:t>
      </w:r>
      <w:r>
        <w:t xml:space="preserve"> </w:t>
      </w:r>
      <w:r>
        <w:t xml:space="preserve">/ Issue #62 and is now supported by direct multi-engine runtime evidence. fileciteturn100file0L2-L2</w:t>
      </w:r>
    </w:p>
    <w:p>
      <w:pPr>
        <w:pStyle w:val="BodyText"/>
      </w:pPr>
      <w:r>
        <w:t xml:space="preserve">This is the primary reason the next phase must be</w:t>
      </w:r>
      <w:r>
        <w:t xml:space="preserve"> </w:t>
      </w:r>
      <w:r>
        <w:rPr>
          <w:b/>
          <w:bCs/>
        </w:rPr>
        <w:t xml:space="preserve">Institutional Risk Semantics</w:t>
      </w:r>
      <w:r>
        <w:t xml:space="preserve">, rather than a simple threshold adjustment.</w:t>
      </w:r>
    </w:p>
    <w:p>
      <w:pPr>
        <w:pStyle w:val="Heading3"/>
      </w:pPr>
      <w:bookmarkStart w:id="20" w:name="_11e69336e1c523cfa37d25676728af5fc068ebc"/>
      <w:r>
        <w:t xml:space="preserve">4.6 Graph Intelligence</w:t>
      </w:r>
    </w:p>
    <w:p>
      <w:pPr>
        <w:pStyle w:val="FirstParagraph"/>
      </w:pPr>
      <w:r>
        <w:rPr>
          <w:b/>
          <w:bCs/>
        </w:rPr>
        <w:t xml:space="preserve">UNPROVEN / DEFER.</w:t>
      </w:r>
    </w:p>
    <w:p>
      <w:pPr>
        <w:pStyle w:val="BodyText"/>
      </w:pPr>
      <w:r>
        <w:t xml:space="preserve">Wave 5 established runtime reachability but exposed a repository/service row-shape contract mismatch. Until the contract is corrected and a positive graph detection case is re-proven end-to-end, Graph must not be represented as a trusted risk contributor.</w:t>
      </w:r>
    </w:p>
    <w:p>
      <w:pPr>
        <w:pStyle w:val="Heading3"/>
      </w:pPr>
      <w:bookmarkStart w:id="21" w:name="_4124ae9476cb3e89b40374370b4df9b2ac261ec"/>
      <w:r>
        <w:t xml:space="preserve">4.7 Operational and Assurance Closure</w:t>
      </w:r>
    </w:p>
    <w:p>
      <w:pPr>
        <w:pStyle w:val="FirstParagraph"/>
      </w:pPr>
      <w:r>
        <w:t xml:space="preserve">The pilot cycle did not close every enterprise assurance dimension. The canonical Engine Assurance Closure remains</w:t>
      </w:r>
      <w:r>
        <w:t xml:space="preserve"> </w:t>
      </w:r>
      <w:r>
        <w:rPr>
          <w:b/>
          <w:bCs/>
        </w:rPr>
        <w:t xml:space="preserve">AMBER / controlled closure</w:t>
      </w:r>
      <w:r>
        <w:t xml:space="preserve"> </w:t>
      </w:r>
      <w:r>
        <w:t xml:space="preserve">and explicitly reserves final GREEN for a closure commit backed by Full System Validation, Security Assurance, and reproducibility evidence. fileciteturn103file0L2-L2</w:t>
      </w:r>
    </w:p>
    <w:p>
      <w:r>
        <w:pict>
          <v:rect style="width:0;height:1.5pt" o:hralign="center" o:hrstd="t" o:hr="t"/>
        </w:pict>
      </w:r>
    </w:p>
    <w:p>
      <w:pPr>
        <w:pStyle w:val="Heading2"/>
      </w:pPr>
      <w:bookmarkStart w:id="22" w:name="_39a032db931ca456335f15d03457fc2baa251a2"/>
      <w:r>
        <w:t xml:space="preserve">5. Residual Risk Register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ID</w:t>
            </w:r>
          </w:p>
        </w:tc>
        <w:tc>
          <w:tcPr/>
          <w:p>
            <w:pPr>
              <w:pStyle w:val="Compact"/>
            </w:pPr>
            <w:r>
              <w:t xml:space="preserve">Residual Risk</w:t>
            </w:r>
          </w:p>
        </w:tc>
        <w:tc>
          <w:tcPr/>
          <w:p>
            <w:pPr>
              <w:pStyle w:val="Compact"/>
            </w:pPr>
            <w:r>
              <w:t xml:space="preserve">Severity</w:t>
            </w:r>
          </w:p>
        </w:tc>
        <w:tc>
          <w:tcPr/>
          <w:p>
            <w:pPr>
              <w:pStyle w:val="Compact"/>
            </w:pPr>
            <w:r>
              <w:t xml:space="preserve">Pilot Effect</w:t>
            </w:r>
          </w:p>
        </w:tc>
        <w:tc>
          <w:tcPr/>
          <w:p>
            <w:pPr>
              <w:pStyle w:val="Compact"/>
            </w:pPr>
            <w:r>
              <w:t xml:space="preserve">Disposition</w:t>
            </w:r>
          </w:p>
        </w:tc>
      </w:tr>
      <w:tr>
        <w:tc>
          <w:tcPr/>
          <w:p>
            <w:pPr>
              <w:pStyle w:val="Compact"/>
            </w:pPr>
            <w:r>
              <w:t xml:space="preserve">R-01</w:t>
            </w:r>
          </w:p>
        </w:tc>
        <w:tc>
          <w:tcPr/>
          <w:p>
            <w:pPr>
              <w:pStyle w:val="Compact"/>
            </w:pPr>
            <w:r>
              <w:t xml:space="preserve">Strong adverse signals can be diluted by cross-engine averaging</w:t>
            </w:r>
          </w:p>
        </w:tc>
        <w:tc>
          <w:tcPr/>
          <w:p>
            <w:pPr>
              <w:pStyle w:val="Compact"/>
            </w:pPr>
            <w:r>
              <w:rPr>
                <w:b/>
                <w:bCs/>
              </w:rPr>
              <w:t xml:space="preserve">HIGH</w:t>
            </w:r>
          </w:p>
        </w:tc>
        <w:tc>
          <w:tcPr/>
          <w:p>
            <w:pPr>
              <w:pStyle w:val="Compact"/>
            </w:pPr>
            <w:r>
              <w:t xml:space="preserve">Does not block tested pilot execution; can affect authorization quality</w:t>
            </w:r>
          </w:p>
        </w:tc>
        <w:tc>
          <w:tcPr/>
          <w:p>
            <w:pPr>
              <w:pStyle w:val="Compact"/>
            </w:pPr>
            <w:r>
              <w:rPr>
                <w:b/>
                <w:bCs/>
              </w:rPr>
              <w:t xml:space="preserve">Institutional priority — Risk Semantics / Aggregation Policy</w:t>
            </w:r>
          </w:p>
        </w:tc>
      </w:tr>
      <w:tr>
        <w:tc>
          <w:tcPr/>
          <w:p>
            <w:pPr>
              <w:pStyle w:val="Compact"/>
            </w:pPr>
            <w:r>
              <w:t xml:space="preserve">R-02</w:t>
            </w:r>
          </w:p>
        </w:tc>
        <w:tc>
          <w:tcPr/>
          <w:p>
            <w:pPr>
              <w:pStyle w:val="Compact"/>
            </w:pPr>
            <w:r>
              <w:t xml:space="preserve">Semantic states such as NOT_EVALUATED / INCONCLUSIVE / ERROR are not yet fully expressed in authorization</w:t>
            </w:r>
          </w:p>
        </w:tc>
        <w:tc>
          <w:tcPr/>
          <w:p>
            <w:pPr>
              <w:pStyle w:val="Compact"/>
            </w:pPr>
            <w:r>
              <w:rPr>
                <w:b/>
                <w:bCs/>
              </w:rPr>
              <w:t xml:space="preserve">HIGH</w:t>
            </w:r>
          </w:p>
        </w:tc>
        <w:tc>
          <w:tcPr/>
          <w:p>
            <w:pPr>
              <w:pStyle w:val="Compact"/>
            </w:pPr>
            <w:r>
              <w:t xml:space="preserve">Limits institutional decision semantics</w:t>
            </w:r>
          </w:p>
        </w:tc>
        <w:tc>
          <w:tcPr/>
          <w:p>
            <w:pPr>
              <w:pStyle w:val="Compact"/>
            </w:pPr>
            <w:r>
              <w:rPr>
                <w:b/>
                <w:bCs/>
              </w:rPr>
              <w:t xml:space="preserve">Institutional priority — deferred under Issue #62</w:t>
            </w:r>
          </w:p>
        </w:tc>
      </w:tr>
      <w:tr>
        <w:tc>
          <w:tcPr/>
          <w:p>
            <w:pPr>
              <w:pStyle w:val="Compact"/>
            </w:pPr>
            <w:r>
              <w:t xml:space="preserve">R-03</w:t>
            </w:r>
          </w:p>
        </w:tc>
        <w:tc>
          <w:tcPr/>
          <w:p>
            <w:pPr>
              <w:pStyle w:val="Compact"/>
            </w:pPr>
            <w:r>
              <w:t xml:space="preserve">Graph repository/service row-shape mismatch makes positive detection untrusted</w:t>
            </w:r>
          </w:p>
        </w:tc>
        <w:tc>
          <w:tcPr/>
          <w:p>
            <w:pPr>
              <w:pStyle w:val="Compact"/>
            </w:pPr>
            <w:r>
              <w:rPr>
                <w:b/>
                <w:bCs/>
              </w:rPr>
              <w:t xml:space="preserve">HIGH</w:t>
            </w:r>
            <w:r>
              <w:t xml:space="preserve"> </w:t>
            </w:r>
            <w:r>
              <w:t xml:space="preserve">for Graph capability</w:t>
            </w:r>
          </w:p>
        </w:tc>
        <w:tc>
          <w:tcPr/>
          <w:p>
            <w:pPr>
              <w:pStyle w:val="Compact"/>
            </w:pPr>
            <w:r>
              <w:t xml:space="preserve">Graph contribution must not be relied upon for pilot conclusions</w:t>
            </w:r>
          </w:p>
        </w:tc>
        <w:tc>
          <w:tcPr/>
          <w:p>
            <w:pPr>
              <w:pStyle w:val="Compact"/>
            </w:pPr>
            <w:r>
              <w:rPr>
                <w:b/>
                <w:bCs/>
              </w:rPr>
              <w:t xml:space="preserve">Issue #63 — correct, regression, positive re-probe</w:t>
            </w:r>
          </w:p>
        </w:tc>
      </w:tr>
      <w:tr>
        <w:tc>
          <w:tcPr/>
          <w:p>
            <w:pPr>
              <w:pStyle w:val="Compact"/>
            </w:pPr>
            <w:r>
              <w:t xml:space="preserve">R-04</w:t>
            </w:r>
          </w:p>
        </w:tc>
        <w:tc>
          <w:tcPr/>
          <w:p>
            <w:pPr>
              <w:pStyle w:val="Compact"/>
            </w:pPr>
            <w:r>
              <w:t xml:space="preserve">Provider failure/indeterminate behavior is not fully live-drilled across all dependency-backed paths</w:t>
            </w:r>
          </w:p>
        </w:tc>
        <w:tc>
          <w:tcPr/>
          <w:p>
            <w:pPr>
              <w:pStyle w:val="Compact"/>
            </w:pPr>
            <w:r>
              <w:rPr>
                <w:b/>
                <w:bCs/>
              </w:rPr>
              <w:t xml:space="preserve">MEDIUM</w:t>
            </w:r>
          </w:p>
        </w:tc>
        <w:tc>
          <w:tcPr/>
          <w:p>
            <w:pPr>
              <w:pStyle w:val="Compact"/>
            </w:pPr>
            <w:r>
              <w:t xml:space="preserve">Tested contracts exist; live operational confidence remains incomplete</w:t>
            </w:r>
          </w:p>
        </w:tc>
        <w:tc>
          <w:tcPr/>
          <w:p>
            <w:pPr>
              <w:pStyle w:val="Compact"/>
            </w:pPr>
            <w:r>
              <w:rPr>
                <w:b/>
                <w:bCs/>
              </w:rPr>
              <w:t xml:space="preserve">Operational assurance phase</w:t>
            </w:r>
          </w:p>
        </w:tc>
      </w:tr>
      <w:tr>
        <w:tc>
          <w:tcPr/>
          <w:p>
            <w:pPr>
              <w:pStyle w:val="Compact"/>
            </w:pPr>
            <w:r>
              <w:t xml:space="preserve">R-05</w:t>
            </w:r>
          </w:p>
        </w:tc>
        <w:tc>
          <w:tcPr/>
          <w:p>
            <w:pPr>
              <w:pStyle w:val="Compact"/>
            </w:pPr>
            <w:r>
              <w:t xml:space="preserve">AML history-sensitive behavior currently depends on a default zero-history implementation when no dependency is injected</w:t>
            </w:r>
          </w:p>
        </w:tc>
        <w:tc>
          <w:tcPr/>
          <w:p>
            <w:pPr>
              <w:pStyle w:val="Compact"/>
            </w:pPr>
            <w:r>
              <w:rPr>
                <w:b/>
                <w:bCs/>
              </w:rPr>
              <w:t xml:space="preserve">MEDIUM</w:t>
            </w:r>
          </w:p>
        </w:tc>
        <w:tc>
          <w:tcPr/>
          <w:p>
            <w:pPr>
              <w:pStyle w:val="Compact"/>
            </w:pPr>
            <w:r>
              <w:t xml:space="preserve">Structuring cannot be treated as real historical absence</w:t>
            </w:r>
          </w:p>
        </w:tc>
        <w:tc>
          <w:tcPr/>
          <w:p>
            <w:pPr>
              <w:pStyle w:val="Compact"/>
            </w:pPr>
            <w:r>
              <w:rPr>
                <w:b/>
                <w:bCs/>
              </w:rPr>
              <w:t xml:space="preserve">Institutional dependency contract</w:t>
            </w:r>
          </w:p>
        </w:tc>
      </w:tr>
      <w:tr>
        <w:tc>
          <w:tcPr/>
          <w:p>
            <w:pPr>
              <w:pStyle w:val="Compact"/>
            </w:pPr>
            <w:r>
              <w:t xml:space="preserve">R-06</w:t>
            </w:r>
          </w:p>
        </w:tc>
        <w:tc>
          <w:tcPr/>
          <w:p>
            <w:pPr>
              <w:pStyle w:val="Compact"/>
            </w:pPr>
            <w:r>
              <w:t xml:space="preserve">KYC/KYB/UBO independent verification and provider-backed provenance are incomplete</w:t>
            </w:r>
          </w:p>
        </w:tc>
        <w:tc>
          <w:tcPr/>
          <w:p>
            <w:pPr>
              <w:pStyle w:val="Compact"/>
            </w:pPr>
            <w:r>
              <w:rPr>
                <w:b/>
                <w:bCs/>
              </w:rPr>
              <w:t xml:space="preserve">HIGH</w:t>
            </w:r>
          </w:p>
        </w:tc>
        <w:tc>
          <w:tcPr/>
          <w:p>
            <w:pPr>
              <w:pStyle w:val="Compact"/>
            </w:pPr>
            <w:r>
              <w:t xml:space="preserve">Pilot demonstrates propagation, not full institutional verification depth</w:t>
            </w:r>
          </w:p>
        </w:tc>
        <w:tc>
          <w:tcPr/>
          <w:p>
            <w:pPr>
              <w:pStyle w:val="Compact"/>
            </w:pPr>
            <w:r>
              <w:rPr>
                <w:b/>
                <w:bCs/>
              </w:rPr>
              <w:t xml:space="preserve">Provider/integration phase</w:t>
            </w:r>
          </w:p>
        </w:tc>
      </w:tr>
      <w:tr>
        <w:tc>
          <w:tcPr/>
          <w:p>
            <w:pPr>
              <w:pStyle w:val="Compact"/>
            </w:pPr>
            <w:r>
              <w:t xml:space="preserve">R-07</w:t>
            </w:r>
          </w:p>
        </w:tc>
        <w:tc>
          <w:tcPr/>
          <w:p>
            <w:pPr>
              <w:pStyle w:val="Compact"/>
            </w:pPr>
            <w:r>
              <w:t xml:space="preserve">Evidence context/lineage fields are not uniformly enriched across non-AML engines</w:t>
            </w:r>
          </w:p>
        </w:tc>
        <w:tc>
          <w:tcPr/>
          <w:p>
            <w:pPr>
              <w:pStyle w:val="Compact"/>
            </w:pPr>
            <w:r>
              <w:rPr>
                <w:b/>
                <w:bCs/>
              </w:rPr>
              <w:t xml:space="preserve">LOW / MEDIUM</w:t>
            </w:r>
          </w:p>
        </w:tc>
        <w:tc>
          <w:tcPr/>
          <w:p>
            <w:pPr>
              <w:pStyle w:val="Compact"/>
            </w:pPr>
            <w:r>
              <w:t xml:space="preserve">Does not invalidate tested decisions; reduces forensic richness</w:t>
            </w:r>
          </w:p>
        </w:tc>
        <w:tc>
          <w:tcPr/>
          <w:p>
            <w:pPr>
              <w:pStyle w:val="Compact"/>
            </w:pPr>
            <w:r>
              <w:rPr>
                <w:b/>
                <w:bCs/>
              </w:rPr>
              <w:t xml:space="preserve">Decision Passport enhancement</w:t>
            </w:r>
          </w:p>
        </w:tc>
      </w:tr>
      <w:tr>
        <w:tc>
          <w:tcPr/>
          <w:p>
            <w:pPr>
              <w:pStyle w:val="Compact"/>
            </w:pPr>
            <w:r>
              <w:t xml:space="preserve">R-08</w:t>
            </w:r>
          </w:p>
        </w:tc>
        <w:tc>
          <w:tcPr/>
          <w:p>
            <w:pPr>
              <w:pStyle w:val="Compact"/>
            </w:pPr>
            <w:r>
              <w:t xml:space="preserve">Stable engine/rule/policy/model version capture is not yet fully closed</w:t>
            </w:r>
          </w:p>
        </w:tc>
        <w:tc>
          <w:tcPr/>
          <w:p>
            <w:pPr>
              <w:pStyle w:val="Compact"/>
            </w:pPr>
            <w:r>
              <w:rPr>
                <w:b/>
                <w:bCs/>
              </w:rPr>
              <w:t xml:space="preserve">MEDIUM</w:t>
            </w:r>
          </w:p>
        </w:tc>
        <w:tc>
          <w:tcPr/>
          <w:p>
            <w:pPr>
              <w:pStyle w:val="Compact"/>
            </w:pPr>
            <w:r>
              <w:t xml:space="preserve">Historical reproducibility is not fully proven</w:t>
            </w:r>
          </w:p>
        </w:tc>
        <w:tc>
          <w:tcPr/>
          <w:p>
            <w:pPr>
              <w:pStyle w:val="Compact"/>
            </w:pPr>
            <w:r>
              <w:rPr>
                <w:b/>
                <w:bCs/>
              </w:rPr>
              <w:t xml:space="preserve">Institutional assurance</w:t>
            </w:r>
          </w:p>
        </w:tc>
      </w:tr>
      <w:tr>
        <w:tc>
          <w:tcPr/>
          <w:p>
            <w:pPr>
              <w:pStyle w:val="Compact"/>
            </w:pPr>
            <w:r>
              <w:t xml:space="preserve">R-09</w:t>
            </w:r>
          </w:p>
        </w:tc>
        <w:tc>
          <w:tcPr/>
          <w:p>
            <w:pPr>
              <w:pStyle w:val="Compact"/>
            </w:pPr>
            <w:r>
              <w:t xml:space="preserve">Tenant isolation, historical replay, performance, Full System Validation, and Security Assurance remain open closure gates</w:t>
            </w:r>
          </w:p>
        </w:tc>
        <w:tc>
          <w:tcPr/>
          <w:p>
            <w:pPr>
              <w:pStyle w:val="Compact"/>
            </w:pPr>
            <w:r>
              <w:rPr>
                <w:b/>
                <w:bCs/>
              </w:rPr>
              <w:t xml:space="preserve">HIGH</w:t>
            </w:r>
            <w:r>
              <w:t xml:space="preserve"> </w:t>
            </w:r>
            <w:r>
              <w:t xml:space="preserve">at institutional production level</w:t>
            </w:r>
          </w:p>
        </w:tc>
        <w:tc>
          <w:tcPr/>
          <w:p>
            <w:pPr>
              <w:pStyle w:val="Compact"/>
            </w:pPr>
            <w:r>
              <w:t xml:space="preserve">Prevents final production assurance closure</w:t>
            </w:r>
          </w:p>
        </w:tc>
        <w:tc>
          <w:tcPr/>
          <w:p>
            <w:pPr>
              <w:pStyle w:val="Compact"/>
            </w:pPr>
            <w:r>
              <w:rPr>
                <w:b/>
                <w:bCs/>
              </w:rPr>
              <w:t xml:space="preserve">Final Assurance / FSV / Security</w:t>
            </w:r>
          </w:p>
        </w:tc>
      </w:tr>
      <w:tr>
        <w:tc>
          <w:tcPr/>
          <w:p>
            <w:pPr>
              <w:pStyle w:val="Compact"/>
            </w:pPr>
            <w:r>
              <w:t xml:space="preserve">R-10</w:t>
            </w:r>
          </w:p>
        </w:tc>
        <w:tc>
          <w:tcPr/>
          <w:p>
            <w:pPr>
              <w:pStyle w:val="Compact"/>
            </w:pPr>
            <w:r>
              <w:t xml:space="preserve">External provider integrations are not yet universally live and proven end-to-end</w:t>
            </w:r>
          </w:p>
        </w:tc>
        <w:tc>
          <w:tcPr/>
          <w:p>
            <w:pPr>
              <w:pStyle w:val="Compact"/>
            </w:pPr>
            <w:r>
              <w:rPr>
                <w:b/>
                <w:bCs/>
              </w:rPr>
              <w:t xml:space="preserve">HIGH</w:t>
            </w:r>
            <w:r>
              <w:t xml:space="preserve"> </w:t>
            </w:r>
            <w:r>
              <w:t xml:space="preserve">for institutional deployment</w:t>
            </w:r>
          </w:p>
        </w:tc>
        <w:tc>
          <w:tcPr/>
          <w:p>
            <w:pPr>
              <w:pStyle w:val="Compact"/>
            </w:pPr>
            <w:r>
              <w:t xml:space="preserve">Limits externalized operational readiness</w:t>
            </w:r>
          </w:p>
        </w:tc>
        <w:tc>
          <w:tcPr/>
          <w:p>
            <w:pPr>
              <w:pStyle w:val="Compact"/>
            </w:pPr>
            <w:r>
              <w:rPr>
                <w:b/>
                <w:bCs/>
              </w:rPr>
              <w:t xml:space="preserve">Integration phase</w:t>
            </w:r>
          </w:p>
        </w:tc>
      </w:tr>
    </w:tbl>
    <w:p>
      <w:pPr>
        <w:pStyle w:val="FirstParagraph"/>
      </w:pPr>
      <w:r>
        <w:t xml:space="preserve">These residual risks are explicitly carried forward. None is silently reclassified as resolved by this exit document.</w:t>
      </w:r>
    </w:p>
    <w:p>
      <w:r>
        <w:pict>
          <v:rect style="width:0;height:1.5pt" o:hralign="center" o:hrstd="t" o:hr="t"/>
        </w:pict>
      </w:r>
    </w:p>
    <w:p>
      <w:pPr>
        <w:pStyle w:val="Heading2"/>
      </w:pPr>
      <w:bookmarkStart w:id="23" w:name="_c90844c106d7277cb845858779a53d6a681762f"/>
      <w:r>
        <w:t xml:space="preserve">6. What This Exit Decision Means</w:t>
      </w:r>
    </w:p>
    <w:p>
      <w:pPr>
        <w:pStyle w:val="Heading3"/>
      </w:pPr>
      <w:bookmarkStart w:id="24" w:name="_accepted"/>
      <w:r>
        <w:t xml:space="preserve">Accepted</w:t>
      </w:r>
    </w:p>
    <w:p>
      <w:pPr>
        <w:pStyle w:val="FirstParagraph"/>
      </w:pPr>
      <w:r>
        <w:t xml:space="preserve">HISN has demonstrated enough controlled-runtime evidence to conclude that the pilot cycle produced a functioning decision path with:</w:t>
      </w:r>
    </w:p>
    <w:p>
      <w:pPr>
        <w:pStyle w:val="Compact"/>
        <w:numPr>
          <w:ilvl w:val="0"/>
          <w:numId w:val="1002"/>
        </w:numPr>
      </w:pPr>
      <w:r>
        <w:t xml:space="preserve">canonical engine registration and execution,</w:t>
      </w:r>
    </w:p>
    <w:p>
      <w:pPr>
        <w:pStyle w:val="Compact"/>
        <w:numPr>
          <w:ilvl w:val="0"/>
          <w:numId w:val="1002"/>
        </w:numPr>
      </w:pPr>
      <w:r>
        <w:t xml:space="preserve">tested finding generation,</w:t>
      </w:r>
    </w:p>
    <w:p>
      <w:pPr>
        <w:pStyle w:val="Compact"/>
        <w:numPr>
          <w:ilvl w:val="0"/>
          <w:numId w:val="1002"/>
        </w:numPr>
      </w:pPr>
      <w:r>
        <w:t xml:space="preserve">evidence propagation,</w:t>
      </w:r>
    </w:p>
    <w:p>
      <w:pPr>
        <w:pStyle w:val="Compact"/>
        <w:numPr>
          <w:ilvl w:val="0"/>
          <w:numId w:val="1002"/>
        </w:numPr>
      </w:pPr>
      <w:r>
        <w:t xml:space="preserve">decision persistence,</w:t>
      </w:r>
    </w:p>
    <w:p>
      <w:pPr>
        <w:pStyle w:val="Compact"/>
        <w:numPr>
          <w:ilvl w:val="0"/>
          <w:numId w:val="1002"/>
        </w:numPr>
      </w:pPr>
      <w:r>
        <w:t xml:space="preserve">Decision DNA persistence,</w:t>
      </w:r>
    </w:p>
    <w:p>
      <w:pPr>
        <w:pStyle w:val="Compact"/>
        <w:numPr>
          <w:ilvl w:val="0"/>
          <w:numId w:val="1002"/>
        </w:numPr>
      </w:pPr>
      <w:r>
        <w:t xml:space="preserve">audit persistence and integrity on tested paths,</w:t>
      </w:r>
    </w:p>
    <w:p>
      <w:pPr>
        <w:pStyle w:val="Compact"/>
        <w:numPr>
          <w:ilvl w:val="0"/>
          <w:numId w:val="1002"/>
        </w:numPr>
      </w:pPr>
      <w:r>
        <w:t xml:space="preserve">sanctions control precedence,</w:t>
      </w:r>
    </w:p>
    <w:p>
      <w:pPr>
        <w:pStyle w:val="Compact"/>
        <w:numPr>
          <w:ilvl w:val="0"/>
          <w:numId w:val="1002"/>
        </w:numPr>
      </w:pPr>
      <w:r>
        <w:t xml:space="preserve">and reproducible evidence sufficient to identify the next architectural problem with precision.</w:t>
      </w:r>
    </w:p>
    <w:p>
      <w:pPr>
        <w:pStyle w:val="Heading3"/>
      </w:pPr>
      <w:bookmarkStart w:id="25" w:name="_dbe9f14e588933894b302280ab7e19d2914047b"/>
      <w:r>
        <w:t xml:space="preserve">Not Accepted as Closed</w:t>
      </w:r>
    </w:p>
    <w:p>
      <w:pPr>
        <w:pStyle w:val="FirstParagraph"/>
      </w:pPr>
      <w:r>
        <w:t xml:space="preserve">This exit does</w:t>
      </w:r>
      <w:r>
        <w:t xml:space="preserve"> </w:t>
      </w:r>
      <w:r>
        <w:rPr>
          <w:b/>
          <w:bCs/>
        </w:rPr>
        <w:t xml:space="preserve">not</w:t>
      </w:r>
      <w:r>
        <w:t xml:space="preserve"> </w:t>
      </w:r>
      <w:r>
        <w:t xml:space="preserve">declare:</w:t>
      </w:r>
    </w:p>
    <w:p>
      <w:pPr>
        <w:pStyle w:val="Compact"/>
        <w:numPr>
          <w:ilvl w:val="0"/>
          <w:numId w:val="1003"/>
        </w:numPr>
      </w:pPr>
      <w:r>
        <w:t xml:space="preserve">universal production readiness,</w:t>
      </w:r>
    </w:p>
    <w:p>
      <w:pPr>
        <w:pStyle w:val="Compact"/>
        <w:numPr>
          <w:ilvl w:val="0"/>
          <w:numId w:val="1003"/>
        </w:numPr>
      </w:pPr>
      <w:r>
        <w:t xml:space="preserve">regulatory certification or SAMA/CMA approval,</w:t>
      </w:r>
    </w:p>
    <w:p>
      <w:pPr>
        <w:pStyle w:val="Compact"/>
        <w:numPr>
          <w:ilvl w:val="0"/>
          <w:numId w:val="1003"/>
        </w:numPr>
      </w:pPr>
      <w:r>
        <w:t xml:space="preserve">full institutional risk semantics,</w:t>
      </w:r>
    </w:p>
    <w:p>
      <w:pPr>
        <w:pStyle w:val="Compact"/>
        <w:numPr>
          <w:ilvl w:val="0"/>
          <w:numId w:val="1003"/>
        </w:numPr>
      </w:pPr>
      <w:r>
        <w:t xml:space="preserve">complete graph intelligence,</w:t>
      </w:r>
    </w:p>
    <w:p>
      <w:pPr>
        <w:pStyle w:val="Compact"/>
        <w:numPr>
          <w:ilvl w:val="0"/>
          <w:numId w:val="1003"/>
        </w:numPr>
      </w:pPr>
      <w:r>
        <w:t xml:space="preserve">full provider integration coverage,</w:t>
      </w:r>
    </w:p>
    <w:p>
      <w:pPr>
        <w:pStyle w:val="Compact"/>
        <w:numPr>
          <w:ilvl w:val="0"/>
          <w:numId w:val="1003"/>
        </w:numPr>
      </w:pPr>
      <w:r>
        <w:t xml:space="preserve">final tenant-isolation assurance,</w:t>
      </w:r>
    </w:p>
    <w:p>
      <w:pPr>
        <w:pStyle w:val="Compact"/>
        <w:numPr>
          <w:ilvl w:val="0"/>
          <w:numId w:val="1003"/>
        </w:numPr>
      </w:pPr>
      <w:r>
        <w:t xml:space="preserve">final historical replay assurance,</w:t>
      </w:r>
    </w:p>
    <w:p>
      <w:pPr>
        <w:pStyle w:val="Compact"/>
        <w:numPr>
          <w:ilvl w:val="0"/>
          <w:numId w:val="1003"/>
        </w:numPr>
      </w:pPr>
      <w:r>
        <w:t xml:space="preserve">final performance assurance,</w:t>
      </w:r>
    </w:p>
    <w:p>
      <w:pPr>
        <w:pStyle w:val="Compact"/>
        <w:numPr>
          <w:ilvl w:val="0"/>
          <w:numId w:val="1003"/>
        </w:numPr>
      </w:pPr>
      <w:r>
        <w:t xml:space="preserve">or final Security / Full System Validation closure.</w:t>
      </w:r>
    </w:p>
    <w:p>
      <w:r>
        <w:pict>
          <v:rect style="width:0;height:1.5pt" o:hralign="center" o:hrstd="t" o:hr="t"/>
        </w:pict>
      </w:r>
    </w:p>
    <w:p>
      <w:pPr>
        <w:pStyle w:val="Heading2"/>
      </w:pPr>
      <w:bookmarkStart w:id="26" w:name="_2a915a5aea899e22cbb309033fcd007464e186e"/>
      <w:r>
        <w:t xml:space="preserve">7. Exit Decision</w:t>
      </w:r>
    </w:p>
    <w:p>
      <w:pPr>
        <w:pStyle w:val="Heading3"/>
      </w:pPr>
      <w:bookmarkStart w:id="27" w:name="_08a79630a539056686d4d7bcf55fd3bacad11c6"/>
      <w:r>
        <w:rPr>
          <w:b/>
          <w:bCs/>
        </w:rPr>
        <w:t xml:space="preserve">PILOT EXIT = ACCEPT WITH OBSERVATIONS</w:t>
      </w:r>
    </w:p>
    <w:p>
      <w:pPr>
        <w:pStyle w:val="FirstParagraph"/>
      </w:pPr>
      <w:r>
        <w:t xml:space="preserve">Rationale:</w:t>
      </w:r>
    </w:p>
    <w:p>
      <w:pPr>
        <w:pStyle w:val="Compact"/>
        <w:numPr>
          <w:ilvl w:val="0"/>
          <w:numId w:val="1004"/>
        </w:numPr>
      </w:pPr>
      <w:r>
        <w:t xml:space="preserve">No</w:t>
      </w:r>
      <w:r>
        <w:t xml:space="preserve"> </w:t>
      </w:r>
      <w:r>
        <w:rPr>
          <w:rStyle w:val="VerbatimChar"/>
        </w:rPr>
        <w:t xml:space="preserve">PILOT BLOCKER</w:t>
      </w:r>
      <w:r>
        <w:t xml:space="preserve"> </w:t>
      </w:r>
      <w:r>
        <w:t xml:space="preserve">was identified across the documented Wave 1–Wave 6 evidence.</w:t>
      </w:r>
    </w:p>
    <w:p>
      <w:pPr>
        <w:pStyle w:val="Compact"/>
        <w:numPr>
          <w:ilvl w:val="0"/>
          <w:numId w:val="1004"/>
        </w:numPr>
      </w:pPr>
      <w:r>
        <w:t xml:space="preserve">No</w:t>
      </w:r>
      <w:r>
        <w:t xml:space="preserve"> </w:t>
      </w:r>
      <w:r>
        <w:rPr>
          <w:rStyle w:val="VerbatimChar"/>
        </w:rPr>
        <w:t xml:space="preserve">STOP &amp; ESCALATE</w:t>
      </w:r>
      <w:r>
        <w:t xml:space="preserve"> </w:t>
      </w:r>
      <w:r>
        <w:t xml:space="preserve">event was identified in the recorded pilot evidence.</w:t>
      </w:r>
    </w:p>
    <w:p>
      <w:pPr>
        <w:pStyle w:val="Compact"/>
        <w:numPr>
          <w:ilvl w:val="0"/>
          <w:numId w:val="1004"/>
        </w:numPr>
      </w:pPr>
      <w:r>
        <w:t xml:space="preserve">The canonical runtime paths required for the controlled pilot are executable and persistent.</w:t>
      </w:r>
    </w:p>
    <w:p>
      <w:pPr>
        <w:pStyle w:val="Compact"/>
        <w:numPr>
          <w:ilvl w:val="0"/>
          <w:numId w:val="1004"/>
        </w:numPr>
      </w:pPr>
      <w:r>
        <w:t xml:space="preserve">Sanctions control precedence is proven on the tested adverse path.</w:t>
      </w:r>
    </w:p>
    <w:p>
      <w:pPr>
        <w:pStyle w:val="Compact"/>
        <w:numPr>
          <w:ilvl w:val="0"/>
          <w:numId w:val="1004"/>
        </w:numPr>
      </w:pPr>
      <w:r>
        <w:t xml:space="preserve">The principal semantic weakness — cross-engine dilution — is known, reproducible, and explicitly deferred rather than hidden.</w:t>
      </w:r>
    </w:p>
    <w:p>
      <w:pPr>
        <w:pStyle w:val="Compact"/>
        <w:numPr>
          <w:ilvl w:val="0"/>
          <w:numId w:val="1004"/>
        </w:numPr>
      </w:pPr>
      <w:r>
        <w:t xml:space="preserve">Graph limitations are explicitly isolated to Issue #63 and are not being presented as trusted intelligence.</w:t>
      </w:r>
    </w:p>
    <w:p>
      <w:pPr>
        <w:pStyle w:val="Compact"/>
        <w:numPr>
          <w:ilvl w:val="0"/>
          <w:numId w:val="1004"/>
        </w:numPr>
      </w:pPr>
      <w:r>
        <w:t xml:space="preserve">Remaining institutional assurance gates are visible and owned as residual risks.</w:t>
      </w:r>
    </w:p>
    <w:p>
      <w:pPr>
        <w:pStyle w:val="FirstParagraph"/>
      </w:pPr>
      <w:r>
        <w:t xml:space="preserve">Therefore the correct transition is:</w:t>
      </w:r>
    </w:p>
    <w:p>
      <w:pPr>
        <w:pStyle w:val="SourceCode"/>
      </w:pPr>
      <w:r>
        <w:rPr>
          <w:rStyle w:val="VerbatimChar"/>
        </w:rPr>
        <w:t xml:space="preserve">PILOT</w:t>
      </w:r>
      <w:r>
        <w:br/>
      </w:r>
      <w:r>
        <w:rPr>
          <w:rStyle w:val="VerbatimChar"/>
        </w:rPr>
        <w:t xml:space="preserve">  ↓</w:t>
      </w:r>
      <w:r>
        <w:br/>
      </w:r>
      <w:r>
        <w:rPr>
          <w:rStyle w:val="VerbatimChar"/>
        </w:rPr>
        <w:t xml:space="preserve">ACCEPT WITH OBSERVATIONS</w:t>
      </w:r>
      <w:r>
        <w:br/>
      </w:r>
      <w:r>
        <w:rPr>
          <w:rStyle w:val="VerbatimChar"/>
        </w:rPr>
        <w:t xml:space="preserve">  ↓</w:t>
      </w:r>
      <w:r>
        <w:br/>
      </w:r>
      <w:r>
        <w:rPr>
          <w:rStyle w:val="VerbatimChar"/>
        </w:rPr>
        <w:t xml:space="preserve">INSTITUTIONAL RISK SEMANTICS</w:t>
      </w:r>
    </w:p>
    <w:p>
      <w:pPr>
        <w:pStyle w:val="FirstParagraph"/>
      </w:pPr>
      <w:r>
        <w:t xml:space="preserve">This is a</w:t>
      </w:r>
      <w:r>
        <w:t xml:space="preserve"> </w:t>
      </w:r>
      <w:r>
        <w:rPr>
          <w:b/>
          <w:bCs/>
        </w:rPr>
        <w:t xml:space="preserve">phase transition</w:t>
      </w:r>
      <w:r>
        <w:t xml:space="preserve">, not a production-certification statement.</w:t>
      </w:r>
    </w:p>
    <w:p>
      <w:r>
        <w:pict>
          <v:rect style="width:0;height:1.5pt" o:hralign="center" o:hrstd="t" o:hr="t"/>
        </w:pict>
      </w:r>
    </w:p>
    <w:p>
      <w:pPr>
        <w:pStyle w:val="Heading2"/>
      </w:pPr>
      <w:bookmarkStart w:id="28" w:name="_4ad17a182e13bbcc07f9fa37ca0bdfeb103e583"/>
      <w:r>
        <w:t xml:space="preserve">8. Authorized Next Phase</w:t>
      </w:r>
    </w:p>
    <w:p>
      <w:pPr>
        <w:pStyle w:val="FirstParagraph"/>
      </w:pPr>
      <w:r>
        <w:t xml:space="preserve">The next phase is now explicitly authorized to focus on institutional decision semantics.</w:t>
      </w:r>
    </w:p>
    <w:p>
      <w:pPr>
        <w:pStyle w:val="Heading3"/>
      </w:pPr>
      <w:bookmarkStart w:id="29" w:name="_ff30211ca8a6095c29fa49a5d0843ca37fb7171"/>
      <w:r>
        <w:t xml:space="preserve">Priority 1 — Risk Semantics Engine</w:t>
      </w:r>
    </w:p>
    <w:p>
      <w:pPr>
        <w:pStyle w:val="FirstParagraph"/>
      </w:pPr>
      <w:r>
        <w:t xml:space="preserve">Implement the semantic state model already specified in the approved Risk Semantics baseline:</w:t>
      </w:r>
    </w:p>
    <w:p>
      <w:pPr>
        <w:pStyle w:val="Compact"/>
        <w:numPr>
          <w:ilvl w:val="0"/>
          <w:numId w:val="1005"/>
        </w:numPr>
      </w:pPr>
      <w:r>
        <w:t xml:space="preserve">FINDING</w:t>
      </w:r>
    </w:p>
    <w:p>
      <w:pPr>
        <w:pStyle w:val="Compact"/>
        <w:numPr>
          <w:ilvl w:val="0"/>
          <w:numId w:val="1005"/>
        </w:numPr>
      </w:pPr>
      <w:r>
        <w:t xml:space="preserve">CLEAR</w:t>
      </w:r>
    </w:p>
    <w:p>
      <w:pPr>
        <w:pStyle w:val="Compact"/>
        <w:numPr>
          <w:ilvl w:val="0"/>
          <w:numId w:val="1005"/>
        </w:numPr>
      </w:pPr>
      <w:r>
        <w:t xml:space="preserve">ABSENT</w:t>
      </w:r>
    </w:p>
    <w:p>
      <w:pPr>
        <w:pStyle w:val="Compact"/>
        <w:numPr>
          <w:ilvl w:val="0"/>
          <w:numId w:val="1005"/>
        </w:numPr>
      </w:pPr>
      <w:r>
        <w:t xml:space="preserve">NOT_EVALUATED</w:t>
      </w:r>
    </w:p>
    <w:p>
      <w:pPr>
        <w:pStyle w:val="Compact"/>
        <w:numPr>
          <w:ilvl w:val="0"/>
          <w:numId w:val="1005"/>
        </w:numPr>
      </w:pPr>
      <w:r>
        <w:t xml:space="preserve">INCONCLUSIVE</w:t>
      </w:r>
    </w:p>
    <w:p>
      <w:pPr>
        <w:pStyle w:val="Compact"/>
        <w:numPr>
          <w:ilvl w:val="0"/>
          <w:numId w:val="1005"/>
        </w:numPr>
      </w:pPr>
      <w:r>
        <w:t xml:space="preserve">ERROR</w:t>
      </w:r>
    </w:p>
    <w:p>
      <w:pPr>
        <w:pStyle w:val="Compact"/>
        <w:numPr>
          <w:ilvl w:val="0"/>
          <w:numId w:val="1005"/>
        </w:numPr>
      </w:pPr>
      <w:r>
        <w:t xml:space="preserve">NOT_APPLICABLE</w:t>
      </w:r>
    </w:p>
    <w:p>
      <w:pPr>
        <w:pStyle w:val="FirstParagraph"/>
      </w:pPr>
      <w:r>
        <w:t xml:space="preserve">The authorization model must distinguish eligibility to approve from a simple numeric score.</w:t>
      </w:r>
    </w:p>
    <w:p>
      <w:pPr>
        <w:pStyle w:val="Heading3"/>
      </w:pPr>
      <w:bookmarkStart w:id="30" w:name="_6f1071825b97d1a46700fa700f910c3232919b3"/>
      <w:r>
        <w:t xml:space="preserve">Priority 2 — Aggregation Policy Framework</w:t>
      </w:r>
    </w:p>
    <w:p>
      <w:pPr>
        <w:pStyle w:val="FirstParagraph"/>
      </w:pPr>
      <w:r>
        <w:t xml:space="preserve">Replace implicit cross-engine averaging as the sole semantic authority with explicit, versioned aggregation behavior that can:</w:t>
      </w:r>
    </w:p>
    <w:p>
      <w:pPr>
        <w:pStyle w:val="Compact"/>
        <w:numPr>
          <w:ilvl w:val="0"/>
          <w:numId w:val="1006"/>
        </w:numPr>
      </w:pPr>
      <w:r>
        <w:t xml:space="preserve">preserve materially strong findings,</w:t>
      </w:r>
    </w:p>
    <w:p>
      <w:pPr>
        <w:pStyle w:val="Compact"/>
        <w:numPr>
          <w:ilvl w:val="0"/>
          <w:numId w:val="1006"/>
        </w:numPr>
      </w:pPr>
      <w:r>
        <w:t xml:space="preserve">prevent silent dilution,</w:t>
      </w:r>
    </w:p>
    <w:p>
      <w:pPr>
        <w:pStyle w:val="Compact"/>
        <w:numPr>
          <w:ilvl w:val="0"/>
          <w:numId w:val="1006"/>
        </w:numPr>
      </w:pPr>
      <w:r>
        <w:t xml:space="preserve">account for evaluation state,</w:t>
      </w:r>
    </w:p>
    <w:p>
      <w:pPr>
        <w:pStyle w:val="Compact"/>
        <w:numPr>
          <w:ilvl w:val="0"/>
          <w:numId w:val="1006"/>
        </w:numPr>
      </w:pPr>
      <w:r>
        <w:t xml:space="preserve">define denominator/contribution behavior explicitly,</w:t>
      </w:r>
    </w:p>
    <w:p>
      <w:pPr>
        <w:pStyle w:val="Compact"/>
        <w:numPr>
          <w:ilvl w:val="0"/>
          <w:numId w:val="1006"/>
        </w:numPr>
      </w:pPr>
      <w:r>
        <w:t xml:space="preserve">and remain auditable in Decision DNA.</w:t>
      </w:r>
    </w:p>
    <w:p>
      <w:pPr>
        <w:pStyle w:val="Heading3"/>
      </w:pPr>
      <w:bookmarkStart w:id="31" w:name="_ff8d182f1aacd0b93e61e6d16d4bfd9c17b5d0e"/>
      <w:r>
        <w:t xml:space="preserve">Priority 3 — Regulatory / Control Precedence</w:t>
      </w:r>
    </w:p>
    <w:p>
      <w:pPr>
        <w:pStyle w:val="FirstParagraph"/>
      </w:pPr>
      <w:r>
        <w:t xml:space="preserve">Formalize obligation and control precedence above numeric risk where required, while keeping regulatory values traceable to an explicit policy/legal mapping rather than inventing generic risk weights.</w:t>
      </w:r>
    </w:p>
    <w:p>
      <w:pPr>
        <w:pStyle w:val="Heading3"/>
      </w:pPr>
      <w:bookmarkStart w:id="32" w:name="_55925f75a4325545bf9751a66dde56b7eea5b0c"/>
      <w:r>
        <w:t xml:space="preserve">Priority 4 — Graph Contract Correction</w:t>
      </w:r>
    </w:p>
    <w:p>
      <w:pPr>
        <w:pStyle w:val="FirstParagraph"/>
      </w:pPr>
      <w:r>
        <w:t xml:space="preserve">Resolve Issue #63, add regression coverage, prove a positive graph case end-to-end, and distinguish</w:t>
      </w:r>
      <w:r>
        <w:t xml:space="preserve"> </w:t>
      </w:r>
      <w:r>
        <w:rPr>
          <w:rStyle w:val="VerbatimChar"/>
        </w:rPr>
        <w:t xml:space="preserve">CLEAR</w:t>
      </w:r>
      <w:r>
        <w:t xml:space="preserve"> </w:t>
      </w:r>
      <w:r>
        <w:t xml:space="preserve">from an inability to evaluate.</w:t>
      </w:r>
    </w:p>
    <w:p>
      <w:pPr>
        <w:pStyle w:val="Heading3"/>
      </w:pPr>
      <w:bookmarkStart w:id="33" w:name="_5ddcc84891213b2dc3850fd061b1fe8ccd06dce"/>
      <w:r>
        <w:t xml:space="preserve">Priority 5 — Decision Passport Enhancement</w:t>
      </w:r>
    </w:p>
    <w:p>
      <w:pPr>
        <w:pStyle w:val="FirstParagraph"/>
      </w:pPr>
      <w:r>
        <w:t xml:space="preserve">Complete evidence context and provenance enrichment so that transaction/case linkage, provider identity, rule/version identity, and verification context are consistently reconstructable.</w:t>
      </w:r>
    </w:p>
    <w:p>
      <w:r>
        <w:pict>
          <v:rect style="width:0;height:1.5pt" o:hralign="center" o:hrstd="t" o:hr="t"/>
        </w:pict>
      </w:r>
    </w:p>
    <w:p>
      <w:pPr>
        <w:pStyle w:val="Heading2"/>
      </w:pPr>
      <w:bookmarkStart w:id="34" w:name="_dbbb513504dad64f0dd2e09df666c022935426c"/>
      <w:r>
        <w:t xml:space="preserve">9. Governance Rules for the Next Phase</w:t>
      </w:r>
    </w:p>
    <w:p>
      <w:pPr>
        <w:pStyle w:val="FirstParagraph"/>
      </w:pPr>
      <w:r>
        <w:t xml:space="preserve">The following remain in force:</w:t>
      </w:r>
    </w:p>
    <w:p>
      <w:pPr>
        <w:pStyle w:val="Compact"/>
        <w:numPr>
          <w:ilvl w:val="0"/>
          <w:numId w:val="1007"/>
        </w:numPr>
      </w:pPr>
      <w:r>
        <w:t xml:space="preserve">No blind threshold tuning to conceal semantic defects.</w:t>
      </w:r>
    </w:p>
    <w:p>
      <w:pPr>
        <w:pStyle w:val="Compact"/>
        <w:numPr>
          <w:ilvl w:val="0"/>
          <w:numId w:val="1007"/>
        </w:numPr>
      </w:pPr>
      <w:r>
        <w:t xml:space="preserve">No feature #31 during this transition.</w:t>
      </w:r>
    </w:p>
    <w:p>
      <w:pPr>
        <w:pStyle w:val="Compact"/>
        <w:numPr>
          <w:ilvl w:val="0"/>
          <w:numId w:val="1007"/>
        </w:numPr>
      </w:pPr>
      <w:r>
        <w:t xml:space="preserve">No reopening of frozen Core v10.4.0 without an explicit acceptance change.</w:t>
      </w:r>
    </w:p>
    <w:p>
      <w:pPr>
        <w:pStyle w:val="Compact"/>
        <w:numPr>
          <w:ilvl w:val="0"/>
          <w:numId w:val="1007"/>
        </w:numPr>
      </w:pPr>
      <w:r>
        <w:t xml:space="preserve">No second engine implementation where a canonical engine already exists.</w:t>
      </w:r>
    </w:p>
    <w:p>
      <w:pPr>
        <w:pStyle w:val="Compact"/>
        <w:numPr>
          <w:ilvl w:val="0"/>
          <w:numId w:val="1007"/>
        </w:numPr>
      </w:pPr>
      <w:r>
        <w:t xml:space="preserve">No frontend ownership of decision logic.</w:t>
      </w:r>
    </w:p>
    <w:p>
      <w:pPr>
        <w:pStyle w:val="Compact"/>
        <w:numPr>
          <w:ilvl w:val="0"/>
          <w:numId w:val="1007"/>
        </w:numPr>
      </w:pPr>
      <w:r>
        <w:t xml:space="preserve">No automatic conversion of pilot observations into build scope without classification.</w:t>
      </w:r>
    </w:p>
    <w:p>
      <w:pPr>
        <w:pStyle w:val="Compact"/>
        <w:numPr>
          <w:ilvl w:val="0"/>
          <w:numId w:val="1007"/>
        </w:numPr>
      </w:pPr>
      <w:r>
        <w:rPr>
          <w:rStyle w:val="VerbatimChar"/>
        </w:rPr>
        <w:t xml:space="preserve">PILOT_BLOCKER</w:t>
      </w:r>
      <w:r>
        <w:t xml:space="preserve"> </w:t>
      </w:r>
      <w:r>
        <w:t xml:space="preserve">→ fix before advancing the affected pilot gate.</w:t>
      </w:r>
    </w:p>
    <w:p>
      <w:pPr>
        <w:pStyle w:val="Compact"/>
        <w:numPr>
          <w:ilvl w:val="0"/>
          <w:numId w:val="1007"/>
        </w:numPr>
      </w:pPr>
      <w:r>
        <w:rPr>
          <w:rStyle w:val="VerbatimChar"/>
        </w:rPr>
        <w:t xml:space="preserve">DEVELOPMENT_OBSERVATION</w:t>
      </w:r>
      <w:r>
        <w:t xml:space="preserve"> </w:t>
      </w:r>
      <w:r>
        <w:t xml:space="preserve">→ document and schedule deliberately.</w:t>
      </w:r>
    </w:p>
    <w:p>
      <w:pPr>
        <w:pStyle w:val="Compact"/>
        <w:numPr>
          <w:ilvl w:val="0"/>
          <w:numId w:val="1007"/>
        </w:numPr>
      </w:pPr>
      <w:r>
        <w:rPr>
          <w:rStyle w:val="VerbatimChar"/>
        </w:rPr>
        <w:t xml:space="preserve">FUTURE_ENHANCEMENT</w:t>
      </w:r>
      <w:r>
        <w:t xml:space="preserve"> </w:t>
      </w:r>
      <w:r>
        <w:t xml:space="preserve">→ backlog.</w:t>
      </w:r>
    </w:p>
    <w:p>
      <w:r>
        <w:pict>
          <v:rect style="width:0;height:1.5pt" o:hralign="center" o:hrstd="t" o:hr="t"/>
        </w:pict>
      </w:r>
    </w:p>
    <w:p>
      <w:pPr>
        <w:pStyle w:val="Heading2"/>
      </w:pPr>
      <w:bookmarkStart w:id="35" w:name="_1894536b3d5e65fd0a074b3a6f51b34e328b31a"/>
      <w:r>
        <w:t xml:space="preserve">10. Evidence Baseline</w:t>
      </w:r>
    </w:p>
    <w:p>
      <w:pPr>
        <w:pStyle w:val="FirstParagraph"/>
      </w:pPr>
      <w:r>
        <w:t xml:space="preserve">The exit assessment relies on the following documented evidence set:</w:t>
      </w:r>
    </w:p>
    <w:p>
      <w:pPr>
        <w:pStyle w:val="Compact"/>
        <w:numPr>
          <w:ilvl w:val="0"/>
          <w:numId w:val="1008"/>
        </w:numPr>
      </w:pPr>
      <w:r>
        <w:t xml:space="preserve">Wave 1 AML Reconciliation</w:t>
      </w:r>
    </w:p>
    <w:p>
      <w:pPr>
        <w:pStyle w:val="Compact"/>
        <w:numPr>
          <w:ilvl w:val="0"/>
          <w:numId w:val="1008"/>
        </w:numPr>
      </w:pPr>
      <w:r>
        <w:t xml:space="preserve">Wave 2 Fraud Reconciliation</w:t>
      </w:r>
    </w:p>
    <w:p>
      <w:pPr>
        <w:pStyle w:val="Compact"/>
        <w:numPr>
          <w:ilvl w:val="0"/>
          <w:numId w:val="1008"/>
        </w:numPr>
      </w:pPr>
      <w:r>
        <w:t xml:space="preserve">Wave 3 Sanctions Reconciliation</w:t>
      </w:r>
    </w:p>
    <w:p>
      <w:pPr>
        <w:pStyle w:val="Compact"/>
        <w:numPr>
          <w:ilvl w:val="0"/>
          <w:numId w:val="1008"/>
        </w:numPr>
      </w:pPr>
      <w:r>
        <w:t xml:space="preserve">Wave 4 KYC / KYB / UBO Reconciliation</w:t>
      </w:r>
    </w:p>
    <w:p>
      <w:pPr>
        <w:pStyle w:val="Compact"/>
        <w:numPr>
          <w:ilvl w:val="0"/>
          <w:numId w:val="1008"/>
        </w:numPr>
      </w:pPr>
      <w:r>
        <w:t xml:space="preserve">Wave 5 Graph Reconciliation</w:t>
      </w:r>
    </w:p>
    <w:p>
      <w:pPr>
        <w:pStyle w:val="Compact"/>
        <w:numPr>
          <w:ilvl w:val="0"/>
          <w:numId w:val="1008"/>
        </w:numPr>
      </w:pPr>
      <w:r>
        <w:t xml:space="preserve">Wave 6 Cross-Engine Decision Integrity Reconciliation</w:t>
      </w:r>
    </w:p>
    <w:p>
      <w:pPr>
        <w:pStyle w:val="Compact"/>
        <w:numPr>
          <w:ilvl w:val="0"/>
          <w:numId w:val="1008"/>
        </w:numPr>
      </w:pPr>
      <w:r>
        <w:t xml:space="preserve">HISN Engine Assurance Closure — 2026-09-04</w:t>
      </w:r>
    </w:p>
    <w:p>
      <w:pPr>
        <w:pStyle w:val="Compact"/>
        <w:numPr>
          <w:ilvl w:val="0"/>
          <w:numId w:val="1008"/>
        </w:numPr>
      </w:pPr>
      <w:r>
        <w:t xml:space="preserve">Risk Semantics regulatory precedence specification</w:t>
      </w:r>
    </w:p>
    <w:p>
      <w:pPr>
        <w:pStyle w:val="Compact"/>
        <w:numPr>
          <w:ilvl w:val="0"/>
          <w:numId w:val="1008"/>
        </w:numPr>
      </w:pPr>
      <w:r>
        <w:t xml:space="preserve">Risk Semantics test contract</w:t>
      </w:r>
    </w:p>
    <w:p>
      <w:pPr>
        <w:pStyle w:val="Compact"/>
        <w:numPr>
          <w:ilvl w:val="0"/>
          <w:numId w:val="1008"/>
        </w:numPr>
      </w:pPr>
      <w:r>
        <w:t xml:space="preserve">Deferred observations Issue #62 and Issue #63</w:t>
      </w:r>
    </w:p>
    <w:p>
      <w:pPr>
        <w:pStyle w:val="FirstParagraph"/>
      </w:pPr>
      <w:r>
        <w:t xml:space="preserve">Wave 6 is explicit that no production or test changes were made during that wave and that the cross-engine semantic observation remains deferred while Graph remains unproven pending Issue #63. fileciteturn100file0L2-L2</w:t>
      </w:r>
    </w:p>
    <w:p>
      <w:pPr>
        <w:pStyle w:val="BodyText"/>
      </w:pPr>
      <w:r>
        <w:t xml:space="preserve">The Engine Assurance Closure likewise states that the canonical runtime consists of six active engines and that final assurance GREEN is reserved for executable closure evidence including Full System Validation and Security Assurance. fileciteturn103file0L2-L2</w:t>
      </w:r>
    </w:p>
    <w:p>
      <w:r>
        <w:pict>
          <v:rect style="width:0;height:1.5pt" o:hralign="center" o:hrstd="t" o:hr="t"/>
        </w:pict>
      </w:r>
    </w:p>
    <w:p>
      <w:pPr>
        <w:pStyle w:val="Heading2"/>
      </w:pPr>
      <w:bookmarkStart w:id="36" w:name="_f2606e51aeafe5fa1cb37eeb0190c82ea7103ef"/>
      <w:r>
        <w:t xml:space="preserve">11. Final Assessment Statement</w:t>
      </w:r>
    </w:p>
    <w:p>
      <w:pPr>
        <w:pStyle w:val="FirstParagraph"/>
      </w:pPr>
      <w:r>
        <w:rPr>
          <w:b/>
          <w:bCs/>
        </w:rPr>
        <w:t xml:space="preserve">HISN is ready to move from the controlled Pilot assessment cycle into Institutional Risk Semantics, with observations accepted and explicitly carried forward.</w:t>
      </w:r>
    </w:p>
    <w:p>
      <w:pPr>
        <w:pStyle w:val="BodyText"/>
      </w:pPr>
      <w:r>
        <w:t xml:space="preserve">The correct engineering posture is neither</w:t>
      </w:r>
      <w:r>
        <w:t xml:space="preserve"> </w:t>
      </w:r>
      <w:r>
        <w:t xml:space="preserve">“everything is production-ready”</w:t>
      </w:r>
      <w:r>
        <w:t xml:space="preserve"> </w:t>
      </w:r>
      <w:r>
        <w:t xml:space="preserve">nor</w:t>
      </w:r>
      <w:r>
        <w:t xml:space="preserve"> </w:t>
      </w:r>
      <w:r>
        <w:t xml:space="preserve">“the pilot failed”</w:t>
      </w:r>
      <w:r>
        <w:t xml:space="preserve">.</w:t>
      </w:r>
    </w:p>
    <w:p>
      <w:pPr>
        <w:pStyle w:val="BodyText"/>
      </w:pPr>
      <w:r>
        <w:t xml:space="preserve">The evidence supports a narrower and more useful conclusion:</w:t>
      </w:r>
    </w:p>
    <w:p>
      <w:pPr>
        <w:pStyle w:val="BlockText"/>
      </w:pPr>
      <w:r>
        <w:rPr>
          <w:b/>
          <w:bCs/>
        </w:rPr>
        <w:t xml:space="preserve">The pilot proved that HISN can detect, evidence, persist, govern, and audit decisions on the tested canonical paths. The pilot also proved where institutional decision semantics are insufficient. The next job is to make the decision semantics institution-grade without destroying the validated runtime foundation.</w:t>
      </w:r>
    </w:p>
    <w:p>
      <w:pPr>
        <w:pStyle w:val="FirstParagraph"/>
      </w:pPr>
      <w:r>
        <w:rPr>
          <w:b/>
          <w:bCs/>
        </w:rPr>
        <w:t xml:space="preserve">Assessment Status: ACCEPT WITH OBSERVATIONS</w:t>
      </w:r>
    </w:p>
    <w:p>
      <w:pPr>
        <w:pStyle w:val="BodyText"/>
      </w:pPr>
      <w:r>
        <w:rPr>
          <w:b/>
          <w:bCs/>
        </w:rPr>
        <w:t xml:space="preserve">Pilot Exit: CLOSED FOR THIS ASSESSMENT CYCLE</w:t>
      </w:r>
    </w:p>
    <w:p>
      <w:pPr>
        <w:pStyle w:val="BodyText"/>
      </w:pPr>
      <w:r>
        <w:rPr>
          <w:b/>
          <w:bCs/>
        </w:rPr>
        <w:t xml:space="preserve">Institutional Risk Semantics: AUTHORIZED AS NEXT PHASE</w:t>
      </w:r>
    </w:p>
    <w:p>
      <w:pPr>
        <w:pStyle w:val="BodyText"/>
      </w:pPr>
      <w:r>
        <w:rPr>
          <w:b/>
          <w:bCs/>
        </w:rPr>
        <w:t xml:space="preserve">Final Production Assurance: NOT YET CLOSED</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Executive</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ajawal" w:hAnsi="Tajawal" w:cs="Tajawal"/>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HISN Pilot Exit Assessment v0.1</dc:title>
  <dc:creator>HISN Platform</dc:creator>
  <cp:keywords>HISN, FCDOS, financial crime, decision operating system</cp:keywords>
  <dcterms:created xsi:type="dcterms:W3CDTF">2026-10-13T12:57:06Z</dcterms:created>
  <dcterms:modified xsi:type="dcterms:W3CDTF">2026-10-13T12:57:06Z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