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2a5ffe42747f61257a49b5bed8e07a0ccd48921"/>
      <w:r>
        <w:t xml:space="preserve">HISN Post-Pilot Executive Assessment v0.1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2026-09-05</w:t>
      </w:r>
      <w:r>
        <w:br/>
      </w:r>
      <w:r>
        <w:rPr>
          <w:b/>
          <w:bCs/>
        </w:rPr>
        <w:t xml:space="preserve">Repository:</w:t>
      </w:r>
      <w:r>
        <w:t xml:space="preserve"> </w:t>
      </w:r>
      <w:r>
        <w:rPr>
          <w:rStyle w:val="VerbatimChar"/>
        </w:rPr>
        <w:t xml:space="preserve">Abdo-Tec/hisn-platform</w:t>
      </w:r>
      <w:r>
        <w:br/>
      </w:r>
      <w:r>
        <w:rPr>
          <w:b/>
          <w:bCs/>
        </w:rPr>
        <w:t xml:space="preserve">Baseline commit:</w:t>
      </w:r>
      <w:r>
        <w:t xml:space="preserve"> </w:t>
      </w:r>
      <w:r>
        <w:rPr>
          <w:rStyle w:val="VerbatimChar"/>
        </w:rPr>
        <w:t xml:space="preserve">6bd8d2b7</w:t>
      </w:r>
      <w:r>
        <w:br/>
      </w:r>
      <w:r>
        <w:rPr>
          <w:b/>
          <w:bCs/>
        </w:rPr>
        <w:t xml:space="preserve">Assessment posture:</w:t>
      </w:r>
      <w:r>
        <w:t xml:space="preserve"> </w:t>
      </w:r>
      <w:r>
        <w:t xml:space="preserve">Executive / CTO / Bank Assurance Review</w:t>
      </w:r>
    </w:p>
    <w:p>
      <w:pPr>
        <w:pStyle w:val="Heading2"/>
      </w:pPr>
      <w:bookmarkStart w:id="10" w:name="_5b1970bbff01b802259417cca4f753e9159ba3c"/>
      <w:r>
        <w:t xml:space="preserve">1. Executive Decision</w:t>
      </w:r>
    </w:p>
    <w:p>
      <w:pPr>
        <w:pStyle w:val="FirstParagraph"/>
      </w:pPr>
      <w:r>
        <w:rPr>
          <w:b/>
          <w:bCs/>
        </w:rPr>
        <w:t xml:space="preserve">PILOT EXIT: ACCEPT WITH OBSERVATIONS</w:t>
      </w:r>
    </w:p>
    <w:p>
      <w:pPr>
        <w:pStyle w:val="BodyText"/>
      </w:pPr>
      <w:r>
        <w:t xml:space="preserve">HISN has sufficient controlled-runtime evidence to close the current pilot assessment cycle and transition to the next architectural phase:</w:t>
      </w:r>
      <w:r>
        <w:t xml:space="preserve"> </w:t>
      </w:r>
      <w:r>
        <w:rPr>
          <w:b/>
          <w:bCs/>
        </w:rPr>
        <w:t xml:space="preserve">Institutional Risk Semantics</w:t>
      </w:r>
      <w:r>
        <w:t xml:space="preserve">.</w:t>
      </w:r>
    </w:p>
    <w:p>
      <w:pPr>
        <w:pStyle w:val="BodyText"/>
      </w:pPr>
      <w:r>
        <w:t xml:space="preserve">This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declaration of unrestricted production readiness, regulatory approval, SAMA/CMA certification, independent audit, or final Engine Assurance closure.</w:t>
      </w:r>
    </w:p>
    <w:p>
      <w:pPr>
        <w:pStyle w:val="BodyText"/>
      </w:pPr>
      <w:r>
        <w:t xml:space="preserve">The correct executive position is:</w:t>
      </w:r>
    </w:p>
    <w:p>
      <w:pPr>
        <w:pStyle w:val="BlockText"/>
      </w:pPr>
      <w:r>
        <w:t xml:space="preserve">The pilot demonstrated a functioning decision operating system on the tested canonical paths, including detection, evidence, persistence, policy control, audit and tenant-boundary behavior. It also exposed specific institutional semantic gaps that are reproducible, bounded and explicitly carried forward.</w:t>
      </w:r>
    </w:p>
    <w:p>
      <w:pPr>
        <w:pStyle w:val="Heading2"/>
      </w:pPr>
      <w:bookmarkStart w:id="11" w:name="_445a5ee2d9878f09796635f80d8aa5553980656"/>
      <w:r>
        <w:t xml:space="preserve">2. Current Verified Baseline</w:t>
      </w:r>
    </w:p>
    <w:p>
      <w:pPr>
        <w:pStyle w:val="FirstParagraph"/>
      </w:pPr>
      <w:r>
        <w:t xml:space="preserve">The current founder-run baseline on 2026-09-05 established:</w:t>
      </w:r>
    </w:p>
    <w:p>
      <w:pPr>
        <w:pStyle w:val="SourceCode"/>
      </w:pPr>
      <w:r>
        <w:rPr>
          <w:rStyle w:val="VerbatimChar"/>
        </w:rPr>
        <w:t xml:space="preserve">Fresh DB rebuild                         PASS</w:t>
      </w:r>
      <w:r>
        <w:br/>
      </w:r>
      <w:r>
        <w:rPr>
          <w:rStyle w:val="VerbatimChar"/>
        </w:rPr>
        <w:t xml:space="preserve">Canonical schema migration               PASS</w:t>
      </w:r>
      <w:r>
        <w:br/>
      </w:r>
      <w:r>
        <w:rPr>
          <w:rStyle w:val="VerbatimChar"/>
        </w:rPr>
        <w:t xml:space="preserve">Application startup                     PASS</w:t>
      </w:r>
      <w:r>
        <w:br/>
      </w:r>
      <w:r>
        <w:rPr>
          <w:rStyle w:val="VerbatimChar"/>
        </w:rPr>
        <w:t xml:space="preserve">Tenant schema drift check               PASS</w:t>
      </w:r>
      <w:r>
        <w:br/>
      </w:r>
      <w:r>
        <w:rPr>
          <w:rStyle w:val="VerbatimChar"/>
        </w:rPr>
        <w:t xml:space="preserve">Watchlist identity check                PASS</w:t>
      </w:r>
      <w:r>
        <w:br/>
      </w:r>
      <w:r>
        <w:rPr>
          <w:rStyle w:val="VerbatimChar"/>
        </w:rPr>
        <w:t xml:space="preserve">Targeted regression                     9 passed</w:t>
      </w:r>
      <w:r>
        <w:br/>
      </w:r>
      <w:r>
        <w:rPr>
          <w:rStyle w:val="VerbatimChar"/>
        </w:rPr>
        <w:t xml:space="preserve">Full regression                         362 passed</w:t>
      </w:r>
      <w:r>
        <w:br/>
      </w:r>
      <w:r>
        <w:rPr>
          <w:rStyle w:val="VerbatimChar"/>
        </w:rPr>
        <w:t xml:space="preserve">Repeated full regression                362 passed</w:t>
      </w:r>
      <w:r>
        <w:br/>
      </w:r>
      <w:r>
        <w:rPr>
          <w:rStyle w:val="VerbatimChar"/>
        </w:rPr>
        <w:t xml:space="preserve">Working tree / remote                   synchronized</w:t>
      </w:r>
      <w:r>
        <w:br/>
      </w:r>
      <w:r>
        <w:rPr>
          <w:rStyle w:val="VerbatimChar"/>
        </w:rPr>
        <w:t xml:space="preserve">Reference commit                        6bd8d2b7</w:t>
      </w:r>
    </w:p>
    <w:p>
      <w:pPr>
        <w:pStyle w:val="FirstParagraph"/>
      </w:pPr>
      <w:r>
        <w:t xml:space="preserve">The single remaining test-suite warning is a Starlette/httpx deprecation warning. It is non-blocking and is recorded as dependency technical debt, not as a release blocker.</w:t>
      </w:r>
    </w:p>
    <w:p>
      <w:pPr>
        <w:pStyle w:val="Heading2"/>
      </w:pPr>
      <w:bookmarkStart w:id="12" w:name="_e06d351e32626760bbb254b0dd03976b9ccb51c"/>
      <w:r>
        <w:t xml:space="preserve">3. What Is Actually Proven</w:t>
      </w:r>
    </w:p>
    <w:p>
      <w:pPr>
        <w:pStyle w:val="Heading3"/>
      </w:pPr>
      <w:bookmarkStart w:id="13" w:name="_d2825de394d65899d94f309ad4c09b78aa41024"/>
      <w:r>
        <w:t xml:space="preserve">Detection and Decision Runtime</w:t>
      </w:r>
    </w:p>
    <w:p>
      <w:pPr>
        <w:pStyle w:val="FirstParagraph"/>
      </w:pPr>
      <w:r>
        <w:t xml:space="preserve">The documented Wave 1–Wave 6 assurance sequence establishes executable canonical paths across AML, Fraud, Sanctions, KYC, KYB and Graph, with explicit distinction between runtime reachability and trusted positive intelligence.</w:t>
      </w:r>
    </w:p>
    <w:p>
      <w:pPr>
        <w:pStyle w:val="Heading3"/>
      </w:pPr>
      <w:bookmarkStart w:id="14" w:name="_050cae854bfb2cab9f09da2eba6f898a1123199"/>
      <w:r>
        <w:t xml:space="preserve">Evidence and Lineage</w:t>
      </w:r>
    </w:p>
    <w:p>
      <w:pPr>
        <w:pStyle w:val="FirstParagraph"/>
      </w:pPr>
      <w:r>
        <w:t xml:space="preserve">Tested paths demonstrate evidence propagation, Decision DNA persistence, audit persistence and reconstructable decision lineage. The assurance record deliberately avoids treating persistence alone as proof of complete institutional provenance.</w:t>
      </w:r>
    </w:p>
    <w:p>
      <w:pPr>
        <w:pStyle w:val="Heading3"/>
      </w:pPr>
      <w:bookmarkStart w:id="15" w:name="_73b624a9d4ff70f90c3c2b6c3467a7ceb63e702"/>
      <w:r>
        <w:t xml:space="preserve">Policy Precedence</w:t>
      </w:r>
    </w:p>
    <w:p>
      <w:pPr>
        <w:pStyle w:val="FirstParagraph"/>
      </w:pPr>
      <w:r>
        <w:t xml:space="preserve">Sanctions control precedence is proven on the tested adverse path: a sanctions match can activate the</w:t>
      </w:r>
      <w:r>
        <w:t xml:space="preserve"> </w:t>
      </w:r>
      <w:r>
        <w:rPr>
          <w:rStyle w:val="VerbatimChar"/>
        </w:rPr>
        <w:t xml:space="preserve">AML_SANCTIONS</w:t>
      </w:r>
      <w:r>
        <w:t xml:space="preserve"> </w:t>
      </w:r>
      <w:r>
        <w:t xml:space="preserve">control and block a lower-priority approval path.</w:t>
      </w:r>
    </w:p>
    <w:p>
      <w:pPr>
        <w:pStyle w:val="Heading3"/>
      </w:pPr>
      <w:bookmarkStart w:id="16" w:name="_25870c023b3f7dc5121066caf50f33549829623"/>
      <w:r>
        <w:t xml:space="preserve">Multi-Tenancy</w:t>
      </w:r>
    </w:p>
    <w:p>
      <w:pPr>
        <w:pStyle w:val="FirstParagraph"/>
      </w:pPr>
      <w:r>
        <w:t xml:space="preserve">Tenant isolation is represented by executable RLS and authorization controls. The latest schema correction also verified that the canonical</w:t>
      </w:r>
      <w:r>
        <w:t xml:space="preserve"> </w:t>
      </w:r>
      <w:r>
        <w:rPr>
          <w:rStyle w:val="VerbatimChar"/>
        </w:rPr>
        <w:t xml:space="preserve">hisn.tenants</w:t>
      </w:r>
      <w:r>
        <w:t xml:space="preserve"> </w:t>
      </w:r>
      <w:r>
        <w:t xml:space="preserve">contract is five columns with no legacy</w:t>
      </w:r>
      <w:r>
        <w:t xml:space="preserve"> </w:t>
      </w:r>
      <w:r>
        <w:rPr>
          <w:rStyle w:val="VerbatimChar"/>
        </w:rPr>
        <w:t xml:space="preserve">api_key</w:t>
      </w:r>
      <w:r>
        <w:t xml:space="preserve"> </w:t>
      </w:r>
      <w:r>
        <w:t xml:space="preserve">column and remains unchanged after application startup.</w:t>
      </w:r>
    </w:p>
    <w:p>
      <w:pPr>
        <w:pStyle w:val="Heading3"/>
      </w:pPr>
      <w:bookmarkStart w:id="17" w:name="_1630f44c087decb16771687a2debbbde47a068b"/>
      <w:r>
        <w:t xml:space="preserve">Watchlist Identity</w:t>
      </w:r>
    </w:p>
    <w:p>
      <w:pPr>
        <w:pStyle w:val="FirstParagraph"/>
      </w:pPr>
      <w:r>
        <w:t xml:space="preserve">The canonical watchlist identity is</w:t>
      </w:r>
      <w:r>
        <w:t xml:space="preserve"> </w:t>
      </w:r>
      <w:r>
        <w:rPr>
          <w:rStyle w:val="VerbatimChar"/>
        </w:rPr>
        <w:t xml:space="preserve">(source, reference_number)</w:t>
      </w:r>
      <w:r>
        <w:t xml:space="preserve">. Global uniqueness on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is not treated as identity.</w:t>
      </w:r>
    </w:p>
    <w:p>
      <w:pPr>
        <w:pStyle w:val="Heading2"/>
      </w:pPr>
      <w:bookmarkStart w:id="18" w:name="_015fe29bd1410d9e703bc8ebe350bf367e61e25"/>
      <w:r>
        <w:t xml:space="preserve">4. Capabilities Present but Not Fully Proven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Executive status</w:t>
            </w:r>
          </w:p>
        </w:tc>
        <w:tc>
          <w:tcPr/>
          <w:p>
            <w:pPr>
              <w:pStyle w:val="Compact"/>
            </w:pPr>
            <w:r>
              <w:t xml:space="preserve">Interpretation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 core detection</w:t>
            </w:r>
          </w:p>
        </w:tc>
        <w:tc>
          <w:tcPr/>
          <w:p>
            <w:pPr>
              <w:pStyle w:val="Compact"/>
            </w:pPr>
            <w:r>
              <w:t xml:space="preserve">Proven on tested paths</w:t>
            </w:r>
          </w:p>
        </w:tc>
        <w:tc>
          <w:tcPr/>
          <w:p>
            <w:pPr>
              <w:pStyle w:val="Compact"/>
            </w:pPr>
            <w:r>
              <w:t xml:space="preserve">Canonical runtime path exists and executes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 signals</w:t>
            </w:r>
          </w:p>
        </w:tc>
        <w:tc>
          <w:tcPr/>
          <w:p>
            <w:pPr>
              <w:pStyle w:val="Compact"/>
            </w:pPr>
            <w:r>
              <w:t xml:space="preserve">Proven on tested signals</w:t>
            </w:r>
          </w:p>
        </w:tc>
        <w:tc>
          <w:tcPr/>
          <w:p>
            <w:pPr>
              <w:pStyle w:val="Compact"/>
            </w:pPr>
            <w:r>
              <w:t xml:space="preserve">Broader historical/semantic coverage remains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Sanctions screening</w:t>
            </w:r>
          </w:p>
        </w:tc>
        <w:tc>
          <w:tcPr/>
          <w:p>
            <w:pPr>
              <w:pStyle w:val="Compact"/>
            </w:pPr>
            <w:r>
              <w:t xml:space="preserve">Proven for pilot capability</w:t>
            </w:r>
          </w:p>
        </w:tc>
        <w:tc>
          <w:tcPr/>
          <w:p>
            <w:pPr>
              <w:pStyle w:val="Compact"/>
            </w:pPr>
            <w:r>
              <w:t xml:space="preserve">Live outage drill remains open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</w:t>
            </w:r>
          </w:p>
        </w:tc>
        <w:tc>
          <w:tcPr/>
          <w:p>
            <w:pPr>
              <w:pStyle w:val="Compact"/>
            </w:pPr>
            <w:r>
              <w:t xml:space="preserve">Proven on tested paths</w:t>
            </w:r>
          </w:p>
        </w:tc>
        <w:tc>
          <w:tcPr/>
          <w:p>
            <w:pPr>
              <w:pStyle w:val="Compact"/>
            </w:pPr>
            <w:r>
              <w:t xml:space="preserve">External/provider verification depth remains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KYB / UBO</w:t>
            </w:r>
          </w:p>
        </w:tc>
        <w:tc>
          <w:tcPr/>
          <w:p>
            <w:pPr>
              <w:pStyle w:val="Compact"/>
            </w:pPr>
            <w:r>
              <w:t xml:space="preserve">Proven on tested propagation paths</w:t>
            </w:r>
          </w:p>
        </w:tc>
        <w:tc>
          <w:tcPr/>
          <w:p>
            <w:pPr>
              <w:pStyle w:val="Compact"/>
            </w:pPr>
            <w:r>
              <w:t xml:space="preserve">Provider-backed verification depth remains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</w:t>
            </w:r>
          </w:p>
        </w:tc>
        <w:tc>
          <w:tcPr/>
          <w:p>
            <w:pPr>
              <w:pStyle w:val="Compact"/>
            </w:pPr>
            <w:r>
              <w:t xml:space="preserve">Reachable but untrusted for positive detection</w:t>
            </w:r>
          </w:p>
        </w:tc>
        <w:tc>
          <w:tcPr/>
          <w:p>
            <w:pPr>
              <w:pStyle w:val="Compact"/>
            </w:pPr>
            <w:r>
              <w:t xml:space="preserve">Wave 5 contract mismatch remains open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Proven on tested paths</w:t>
            </w:r>
          </w:p>
        </w:tc>
        <w:tc>
          <w:tcPr/>
          <w:p>
            <w:pPr>
              <w:pStyle w:val="Compact"/>
            </w:pPr>
            <w:r>
              <w:t xml:space="preserve">Uniform lineage/context enrichment remains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Proven on tested paths</w:t>
            </w:r>
          </w:p>
        </w:tc>
        <w:tc>
          <w:tcPr/>
          <w:p>
            <w:pPr>
              <w:pStyle w:val="Compact"/>
            </w:pPr>
            <w:r>
              <w:t xml:space="preserve">Full version/provenance closure remains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</w:t>
            </w:r>
          </w:p>
        </w:tc>
        <w:tc>
          <w:tcPr/>
          <w:p>
            <w:pPr>
              <w:pStyle w:val="Compact"/>
            </w:pPr>
            <w:r>
              <w:t xml:space="preserve">Proven on tested paths</w:t>
            </w:r>
          </w:p>
        </w:tc>
        <w:tc>
          <w:tcPr/>
          <w:p>
            <w:pPr>
              <w:pStyle w:val="Compact"/>
            </w:pPr>
            <w:r>
              <w:t xml:space="preserve">Broader operational assurance remains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Cross-engine decisioning</w:t>
            </w:r>
          </w:p>
        </w:tc>
        <w:tc>
          <w:tcPr/>
          <w:p>
            <w:pPr>
              <w:pStyle w:val="Compact"/>
            </w:pPr>
            <w:r>
              <w:t xml:space="preserve">Control precedence proven</w:t>
            </w:r>
          </w:p>
        </w:tc>
        <w:tc>
          <w:tcPr/>
          <w:p>
            <w:pPr>
              <w:pStyle w:val="Compact"/>
            </w:pPr>
            <w:r>
              <w:t xml:space="preserve">Numeric aggregation semantics remain insufficient</w:t>
            </w:r>
          </w:p>
        </w:tc>
      </w:tr>
    </w:tbl>
    <w:p>
      <w:pPr>
        <w:pStyle w:val="Heading2"/>
      </w:pPr>
      <w:bookmarkStart w:id="19" w:name="_14bc9564f0f055f3347ed0b4a3a082d942e0199"/>
      <w:r>
        <w:t xml:space="preserve">5. Material Residual Risks</w:t>
      </w:r>
    </w:p>
    <w:p>
      <w:pPr>
        <w:pStyle w:val="Heading3"/>
      </w:pPr>
      <w:bookmarkStart w:id="20" w:name="_024c494e0d9db8282d3a36dcf5c997c3cd0f986"/>
      <w:r>
        <w:t xml:space="preserve">R-01 — Cross-Engine Risk Dilution</w:t>
      </w:r>
    </w:p>
    <w:p>
      <w:pPr>
        <w:pStyle w:val="FirstParagraph"/>
      </w:pPr>
      <w:r>
        <w:t xml:space="preserve">Wave 6 demonstrated that multiple adverse findings can be materially diluted by the current numeric averaging behavior and reach an approval outcome when no stronger control overrides the result.</w:t>
      </w:r>
    </w:p>
    <w:p>
      <w:pPr>
        <w:pStyle w:val="BodyText"/>
      </w:pPr>
      <w:r>
        <w:rPr>
          <w:b/>
          <w:bCs/>
        </w:rPr>
        <w:t xml:space="preserve">Executive classification: HIGH / Institutional priority.</w:t>
      </w:r>
    </w:p>
    <w:p>
      <w:pPr>
        <w:pStyle w:val="BodyText"/>
      </w:pPr>
      <w:r>
        <w:t xml:space="preserve">This is not a threshold-tuning problem. It is a decision-semantics problem.</w:t>
      </w:r>
    </w:p>
    <w:p>
      <w:pPr>
        <w:pStyle w:val="Heading3"/>
      </w:pPr>
      <w:bookmarkStart w:id="21" w:name="_839bafa4203b4d4e95792280bbad3db6154bfe0"/>
      <w:r>
        <w:t xml:space="preserve">R-02 — Semantic Authorization States</w:t>
      </w:r>
    </w:p>
    <w:p>
      <w:pPr>
        <w:pStyle w:val="FirstParagraph"/>
      </w:pPr>
      <w:r>
        <w:t xml:space="preserve">States such as</w:t>
      </w:r>
      <w:r>
        <w:t xml:space="preserve"> </w:t>
      </w:r>
      <w:r>
        <w:rPr>
          <w:rStyle w:val="VerbatimChar"/>
        </w:rPr>
        <w:t xml:space="preserve">NOT_EVALUATED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INCONCLUSIVE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NOT_APPLICABLE</w:t>
      </w:r>
      <w:r>
        <w:t xml:space="preserve"> </w:t>
      </w:r>
      <w:r>
        <w:t xml:space="preserve">are not yet fully expressed as authorization semantics.</w:t>
      </w:r>
    </w:p>
    <w:p>
      <w:pPr>
        <w:pStyle w:val="BodyText"/>
      </w:pPr>
      <w:r>
        <w:rPr>
          <w:b/>
          <w:bCs/>
        </w:rPr>
        <w:t xml:space="preserve">Executive classification: HIGH / Institutional priority.</w:t>
      </w:r>
    </w:p>
    <w:p>
      <w:pPr>
        <w:pStyle w:val="Heading3"/>
      </w:pPr>
      <w:bookmarkStart w:id="22" w:name="_5b15edecc5a4f09ecc84d0953b2cee82df1879d"/>
      <w:r>
        <w:t xml:space="preserve">R-03 — Graph Positive Detection</w:t>
      </w:r>
    </w:p>
    <w:p>
      <w:pPr>
        <w:pStyle w:val="FirstParagraph"/>
      </w:pPr>
      <w:r>
        <w:t xml:space="preserve">Wave 5 established runtime reachability but identified a repository/service row-shape mismatch. Graph must therefore not be presented as trusted positive intelligence until Issue #63 is corrected and positively re-proven.</w:t>
      </w:r>
    </w:p>
    <w:p>
      <w:pPr>
        <w:pStyle w:val="BodyText"/>
      </w:pPr>
      <w:r>
        <w:rPr>
          <w:b/>
          <w:bCs/>
        </w:rPr>
        <w:t xml:space="preserve">Executive classification: HIGH for Graph capability.</w:t>
      </w:r>
    </w:p>
    <w:p>
      <w:pPr>
        <w:pStyle w:val="Heading3"/>
      </w:pPr>
      <w:bookmarkStart w:id="23" w:name="_2af634a26b85356a2dae61f3e8761d0b8986922"/>
      <w:r>
        <w:t xml:space="preserve">R-04 — Provider / Dependency Failure Drills</w:t>
      </w:r>
    </w:p>
    <w:p>
      <w:pPr>
        <w:pStyle w:val="FirstParagraph"/>
      </w:pPr>
      <w:r>
        <w:t xml:space="preserve">Provider-failure contracts exist in the test evidence, but live operational failure drills are not universally closed.</w:t>
      </w:r>
    </w:p>
    <w:p>
      <w:pPr>
        <w:pStyle w:val="BodyText"/>
      </w:pPr>
      <w:r>
        <w:rPr>
          <w:b/>
          <w:bCs/>
        </w:rPr>
        <w:t xml:space="preserve">Executive classification: MEDIUM.</w:t>
      </w:r>
    </w:p>
    <w:p>
      <w:pPr>
        <w:pStyle w:val="Heading3"/>
      </w:pPr>
      <w:bookmarkStart w:id="24" w:name="_aba3a70559f96eafcf203fb4eff8c0056e7c4d2"/>
      <w:r>
        <w:t xml:space="preserve">R-05 — External Verification Depth</w:t>
      </w:r>
    </w:p>
    <w:p>
      <w:pPr>
        <w:pStyle w:val="FirstParagraph"/>
      </w:pPr>
      <w:r>
        <w:t xml:space="preserve">Independent provider-backed KYC/KYB/UBO verification and provenance remain incomplete for institutional deployment.</w:t>
      </w:r>
    </w:p>
    <w:p>
      <w:pPr>
        <w:pStyle w:val="BodyText"/>
      </w:pPr>
      <w:r>
        <w:rPr>
          <w:b/>
          <w:bCs/>
        </w:rPr>
        <w:t xml:space="preserve">Executive classification: HIGH for institutional deployment.</w:t>
      </w:r>
    </w:p>
    <w:p>
      <w:pPr>
        <w:pStyle w:val="Heading3"/>
      </w:pPr>
      <w:bookmarkStart w:id="25" w:name="_f2403edf1695985bfe7033cf9b27d83cf3f12c2"/>
      <w:r>
        <w:t xml:space="preserve">R-06 — Final Assurance Gates</w:t>
      </w:r>
    </w:p>
    <w:p>
      <w:pPr>
        <w:pStyle w:val="FirstParagraph"/>
      </w:pPr>
      <w:r>
        <w:t xml:space="preserve">Tenant isolation, historical replay, performance, Full System Validation and Security Assurance remain formal closure dimensions rather than being inferred from the pilot regression result.</w:t>
      </w:r>
    </w:p>
    <w:p>
      <w:pPr>
        <w:pStyle w:val="BodyText"/>
      </w:pPr>
      <w:r>
        <w:rPr>
          <w:b/>
          <w:bCs/>
        </w:rPr>
        <w:t xml:space="preserve">Executive classification: HIGH at production-assurance level.</w:t>
      </w:r>
    </w:p>
    <w:p>
      <w:pPr>
        <w:pStyle w:val="Heading2"/>
      </w:pPr>
      <w:bookmarkStart w:id="26" w:name="_282b95d62ffeb2c6daf88b6932c6e6968b344a2"/>
      <w:r>
        <w:t xml:space="preserve">6. What the Pilot Does NOT Prove</w:t>
      </w:r>
    </w:p>
    <w:p>
      <w:pPr>
        <w:pStyle w:val="FirstParagraph"/>
      </w:pPr>
      <w:r>
        <w:t xml:space="preserve">The current evidence does not support claiming:</w:t>
      </w:r>
    </w:p>
    <w:p>
      <w:pPr>
        <w:pStyle w:val="Compact"/>
        <w:numPr>
          <w:ilvl w:val="0"/>
          <w:numId w:val="1001"/>
        </w:numPr>
      </w:pPr>
      <w:r>
        <w:t xml:space="preserve">unrestricted production readiness;</w:t>
      </w:r>
    </w:p>
    <w:p>
      <w:pPr>
        <w:pStyle w:val="Compact"/>
        <w:numPr>
          <w:ilvl w:val="0"/>
          <w:numId w:val="1001"/>
        </w:numPr>
      </w:pPr>
      <w:r>
        <w:t xml:space="preserve">regulatory certification or SAMA/CMA approval;</w:t>
      </w:r>
    </w:p>
    <w:p>
      <w:pPr>
        <w:pStyle w:val="Compact"/>
        <w:numPr>
          <w:ilvl w:val="0"/>
          <w:numId w:val="1001"/>
        </w:numPr>
      </w:pPr>
      <w:r>
        <w:t xml:space="preserve">fully closed institutional risk semantics;</w:t>
      </w:r>
    </w:p>
    <w:p>
      <w:pPr>
        <w:pStyle w:val="Compact"/>
        <w:numPr>
          <w:ilvl w:val="0"/>
          <w:numId w:val="1001"/>
        </w:numPr>
      </w:pPr>
      <w:r>
        <w:t xml:space="preserve">trusted positive Graph intelligence;</w:t>
      </w:r>
    </w:p>
    <w:p>
      <w:pPr>
        <w:pStyle w:val="Compact"/>
        <w:numPr>
          <w:ilvl w:val="0"/>
          <w:numId w:val="1001"/>
        </w:numPr>
      </w:pPr>
      <w:r>
        <w:t xml:space="preserve">universal external-provider coverage;</w:t>
      </w:r>
    </w:p>
    <w:p>
      <w:pPr>
        <w:pStyle w:val="Compact"/>
        <w:numPr>
          <w:ilvl w:val="0"/>
          <w:numId w:val="1001"/>
        </w:numPr>
      </w:pPr>
      <w:r>
        <w:t xml:space="preserve">final production tenant-isolation assurance;</w:t>
      </w:r>
    </w:p>
    <w:p>
      <w:pPr>
        <w:pStyle w:val="Compact"/>
        <w:numPr>
          <w:ilvl w:val="0"/>
          <w:numId w:val="1001"/>
        </w:numPr>
      </w:pPr>
      <w:r>
        <w:t xml:space="preserve">final historical-replay assurance;</w:t>
      </w:r>
    </w:p>
    <w:p>
      <w:pPr>
        <w:pStyle w:val="Compact"/>
        <w:numPr>
          <w:ilvl w:val="0"/>
          <w:numId w:val="1001"/>
        </w:numPr>
      </w:pPr>
      <w:r>
        <w:t xml:space="preserve">final performance validation;</w:t>
      </w:r>
    </w:p>
    <w:p>
      <w:pPr>
        <w:pStyle w:val="Compact"/>
        <w:numPr>
          <w:ilvl w:val="0"/>
          <w:numId w:val="1001"/>
        </w:numPr>
      </w:pPr>
      <w:r>
        <w:t xml:space="preserve">final Security Assurance closure;</w:t>
      </w:r>
    </w:p>
    <w:p>
      <w:pPr>
        <w:pStyle w:val="Compact"/>
        <w:numPr>
          <w:ilvl w:val="0"/>
          <w:numId w:val="1001"/>
        </w:numPr>
      </w:pPr>
      <w:r>
        <w:t xml:space="preserve">independent audit or customer acceptance.</w:t>
      </w:r>
    </w:p>
    <w:p>
      <w:pPr>
        <w:pStyle w:val="Heading2"/>
      </w:pPr>
      <w:bookmarkStart w:id="27" w:name="_7dd71432f778b78e39a24ce1fd0287aa83081da"/>
      <w:r>
        <w:t xml:space="preserve">7. Completed Assurance Files</w:t>
      </w:r>
    </w:p>
    <w:p>
      <w:pPr>
        <w:pStyle w:val="FirstParagraph"/>
      </w:pPr>
      <w:r>
        <w:t xml:space="preserve">The following repository artifacts are completed evidence or control documents for the current pilot baseline:</w:t>
      </w:r>
    </w:p>
    <w:p>
      <w:pPr>
        <w:pStyle w:val="Heading3"/>
      </w:pPr>
      <w:bookmarkStart w:id="28" w:name="_06bdf604afbe7756696944cfe72a6784f72ec00"/>
      <w:r>
        <w:t xml:space="preserve">Pilot Reconciliation Set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docs/assurance/AML_Wave1_Reconciliation.md</w:t>
      </w:r>
      <w:r>
        <w:t xml:space="preserve"> </w:t>
      </w:r>
      <w:r>
        <w:t xml:space="preserve">— AML runtime reconciliation.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docs/assurance/Fraud_Wave2_Reconciliation.md</w:t>
      </w:r>
      <w:r>
        <w:t xml:space="preserve"> </w:t>
      </w:r>
      <w:r>
        <w:t xml:space="preserve">— Fraud runtime reconciliation.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docs/assurance/Sanctions_Wave3_Reconciliation.md</w:t>
      </w:r>
      <w:r>
        <w:t xml:space="preserve"> </w:t>
      </w:r>
      <w:r>
        <w:t xml:space="preserve">— Sanctions reconciliation and precedence evidence.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docs/assurance/KYC_KYB_Wave4_Reconciliation.md</w:t>
      </w:r>
      <w:r>
        <w:t xml:space="preserve"> </w:t>
      </w:r>
      <w:r>
        <w:t xml:space="preserve">— KYC/KYB/UBO capability and provenance reconciliation.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docs/assurance/Graph_Wave5_Reconciliation.md</w:t>
      </w:r>
      <w:r>
        <w:t xml:space="preserve"> </w:t>
      </w:r>
      <w:r>
        <w:t xml:space="preserve">— Graph reachability and unresolved positive-detection boundary.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docs/assurance/Wave6_CrossEngine_Decision_Integrity_Reconciliation.md</w:t>
      </w:r>
      <w:r>
        <w:t xml:space="preserve"> </w:t>
      </w:r>
      <w:r>
        <w:t xml:space="preserve">— cross-engine decision, evidence and policy-precedence reconciliation.</w:t>
      </w:r>
    </w:p>
    <w:p>
      <w:pPr>
        <w:pStyle w:val="Heading3"/>
      </w:pPr>
      <w:bookmarkStart w:id="29" w:name="_e5f3dc31463720890035fcc89fcab157bca548b"/>
      <w:r>
        <w:t xml:space="preserve">Assurance Governance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docs/assurance/HISN_Pilot_Exit_Assessment_v0.1.md</w:t>
      </w:r>
      <w:r>
        <w:t xml:space="preserve"> </w:t>
      </w:r>
      <w:r>
        <w:t xml:space="preserve">— formal pilot exit decision:</w:t>
      </w:r>
      <w:r>
        <w:t xml:space="preserve"> </w:t>
      </w:r>
      <w:r>
        <w:rPr>
          <w:b/>
          <w:bCs/>
        </w:rPr>
        <w:t xml:space="preserve">ACCEPT WITH OBSERVATIONS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docs/assurance/HISN_ENGINE_ASSURANCE_CLOSURE_2026-09-04.md</w:t>
      </w:r>
      <w:r>
        <w:t xml:space="preserve"> </w:t>
      </w:r>
      <w:r>
        <w:t xml:space="preserve">— canonical Engine Assurance closure record; remains AMBER / controlled closure.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docs/assurance/HISN_ENGINE_ASSURANCE_EXIT_CRITERIA_2026-09-04.md</w:t>
      </w:r>
      <w:r>
        <w:t xml:space="preserve"> </w:t>
      </w:r>
      <w:r>
        <w:t xml:space="preserve">— hard criteria for final Engine Assurance closure.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docs/assurance/HISN_PILOT_GATEBOARD_2026-09-04.md</w:t>
      </w:r>
      <w:r>
        <w:t xml:space="preserve"> </w:t>
      </w:r>
      <w:r>
        <w:t xml:space="preserve">— pilot gate/control board.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docs/assurance/HISN_ASSURANCE_EXECUTION_RUNBOOK_2026-08-31.md</w:t>
      </w:r>
      <w:r>
        <w:t xml:space="preserve"> </w:t>
      </w:r>
      <w:r>
        <w:t xml:space="preserve">— execution and closure runbook.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docs/assurance/HISN_ASSURANCE_ROADMAP_2026-08-31.md</w:t>
      </w:r>
      <w:r>
        <w:t xml:space="preserve"> </w:t>
      </w:r>
      <w:r>
        <w:t xml:space="preserve">— assurance roadmap and gate progression.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docs/assurance/HISN_PRODUCTION_READINESS_REGISTER_2026-09-02.md</w:t>
      </w:r>
      <w:r>
        <w:t xml:space="preserve"> </w:t>
      </w:r>
      <w:r>
        <w:t xml:space="preserve">— production-readiness register and identified assurance gaps.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docs/assurance/HISN_FINAL_RELEASE_GATE_BOARD_2026-09-02.md</w:t>
      </w:r>
      <w:r>
        <w:t xml:space="preserve"> </w:t>
      </w:r>
      <w:r>
        <w:t xml:space="preserve">— final release-gate framing.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docs/assurance/HISN_EXECUTIVE_CONTROL_REPORT_2026-09-02.md</w:t>
      </w:r>
      <w:r>
        <w:t xml:space="preserve"> </w:t>
      </w:r>
      <w:r>
        <w:t xml:space="preserve">— executive control view.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docs/assurance/HISN_ENGINEERING_HANDOFF_2026-09-02.md</w:t>
      </w:r>
      <w:r>
        <w:t xml:space="preserve"> </w:t>
      </w:r>
      <w:r>
        <w:t xml:space="preserve">— engineering handoff and operational boundaries.</w:t>
      </w:r>
    </w:p>
    <w:p>
      <w:pPr>
        <w:pStyle w:val="Heading3"/>
      </w:pPr>
      <w:bookmarkStart w:id="30" w:name="_02529afff3eeb84d1f62010599149e1925e79d1"/>
      <w:r>
        <w:t xml:space="preserve">Verification / Evidence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docs/verification/HISN_SOFTWARE_TEST_EVIDENCE_AND_VERIFICATION_REGISTER_2026-08-31.md</w:t>
      </w:r>
      <w:r>
        <w:t xml:space="preserve"> </w:t>
      </w:r>
      <w:r>
        <w:t xml:space="preserve">— test-evidence methodology and reproducibility framework.</w:t>
      </w:r>
    </w:p>
    <w:p>
      <w:pPr>
        <w:pStyle w:val="Heading3"/>
      </w:pPr>
      <w:bookmarkStart w:id="31" w:name="_2761f914e0a2ed88db35a7d21ddec29394d4468"/>
      <w:r>
        <w:t xml:space="preserve">Architecture / Risk Semantics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docs/knowledge-base/architecture/docs/02-cognitive-core/HISN_Risk_Semantics_Regulatory_Precedence_Specification_v0.2.md</w:t>
      </w:r>
      <w:r>
        <w:t xml:space="preserve"> </w:t>
      </w:r>
      <w:r>
        <w:t xml:space="preserve">— approved architectural baseline for institutional risk semantics; implementation hold.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docs/knowledge-base/architecture/docs/02-cognitive-core/HISN_Risk_Semantics_Test_Matrix_v0.1.md</w:t>
      </w:r>
      <w:r>
        <w:t xml:space="preserve"> </w:t>
      </w:r>
      <w:r>
        <w:t xml:space="preserve">— corresponding test contract.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docs/audits/pilot/HISN_Pilot_Development_Observation_Register_v1.0.md</w:t>
      </w:r>
      <w:r>
        <w:t xml:space="preserve"> </w:t>
      </w:r>
      <w:r>
        <w:t xml:space="preserve">— deferred observations and forward engineering direction.</w:t>
      </w:r>
    </w:p>
    <w:p>
      <w:pPr>
        <w:pStyle w:val="Heading2"/>
      </w:pPr>
      <w:bookmarkStart w:id="32" w:name="_1bd03072a1d4380f50c8ea8d97ad3aef94fe8d9"/>
      <w:r>
        <w:t xml:space="preserve">8. Completed Schema Closure</w:t>
      </w:r>
    </w:p>
    <w:p>
      <w:pPr>
        <w:pStyle w:val="FirstParagraph"/>
      </w:pPr>
      <w:r>
        <w:t xml:space="preserve">The current baseline also includes the following closed schema corrections in commit</w:t>
      </w:r>
      <w:r>
        <w:t xml:space="preserve"> </w:t>
      </w:r>
      <w:r>
        <w:rPr>
          <w:rStyle w:val="VerbatimChar"/>
        </w:rPr>
        <w:t xml:space="preserve">6bd8d2b7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database/schema/20-application/205_watchlist_persistence.sql</w:t>
      </w:r>
      <w:r>
        <w:t xml:space="preserve"> </w:t>
      </w:r>
      <w:r>
        <w:t xml:space="preserve">— removes the legacy global</w:t>
      </w:r>
      <w:r>
        <w:t xml:space="preserve"> </w:t>
      </w:r>
      <w:r>
        <w:rPr>
          <w:rStyle w:val="VerbatimChar"/>
        </w:rPr>
        <w:t xml:space="preserve">watchlist_name_key</w:t>
      </w:r>
      <w:r>
        <w:t xml:space="preserve"> </w:t>
      </w:r>
      <w:r>
        <w:t xml:space="preserve">constraint while retaining searchable name indexing and canonical</w:t>
      </w:r>
      <w:r>
        <w:t xml:space="preserve"> </w:t>
      </w:r>
      <w:r>
        <w:rPr>
          <w:rStyle w:val="VerbatimChar"/>
        </w:rPr>
        <w:t xml:space="preserve">(source, reference_number)</w:t>
      </w:r>
      <w:r>
        <w:t xml:space="preserve"> </w:t>
      </w:r>
      <w:r>
        <w:t xml:space="preserve">uniqueness.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database/schema/208_reconcile_tenant_schema.sql</w:t>
      </w:r>
      <w:r>
        <w:t xml:space="preserve"> </w:t>
      </w:r>
      <w:r>
        <w:t xml:space="preserve">— removes the legacy</w:t>
      </w:r>
      <w:r>
        <w:t xml:space="preserve"> </w:t>
      </w:r>
      <w:r>
        <w:rPr>
          <w:rStyle w:val="VerbatimChar"/>
        </w:rPr>
        <w:t xml:space="preserve">tenants.api_key</w:t>
      </w:r>
      <w:r>
        <w:t xml:space="preserve"> </w:t>
      </w:r>
      <w:r>
        <w:t xml:space="preserve">column/index from existing databases.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init_db.sql</w:t>
      </w:r>
      <w:r>
        <w:t xml:space="preserve"> </w:t>
      </w:r>
      <w:r>
        <w:t xml:space="preserve">— removes legacy</w:t>
      </w:r>
      <w:r>
        <w:t xml:space="preserve"> </w:t>
      </w:r>
      <w:r>
        <w:rPr>
          <w:rStyle w:val="VerbatimChar"/>
        </w:rPr>
        <w:t xml:space="preserve">UNIQUE(name)</w:t>
      </w:r>
      <w:r>
        <w:t xml:space="preserve"> </w:t>
      </w:r>
      <w:r>
        <w:t xml:space="preserve">from the watchlist bootstrap contract.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scripts/ensure_runtime_schema.py</w:t>
      </w:r>
      <w:r>
        <w:t xml:space="preserve"> </w:t>
      </w:r>
      <w:r>
        <w:t xml:space="preserve">— no longer creates or reintroduces</w:t>
      </w:r>
      <w:r>
        <w:t xml:space="preserve"> </w:t>
      </w:r>
      <w:r>
        <w:rPr>
          <w:rStyle w:val="VerbatimChar"/>
        </w:rPr>
        <w:t xml:space="preserve">tenants.api_key</w:t>
      </w:r>
      <w:r>
        <w:t xml:space="preserve"> </w:t>
      </w:r>
      <w:r>
        <w:t xml:space="preserve">during application startup.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scripts/provision_investor_demo.py</w:t>
      </w:r>
      <w:r>
        <w:t xml:space="preserve"> </w:t>
      </w:r>
      <w:r>
        <w:t xml:space="preserve">— tenant provisioning now follows the canonical five-column tenant contract.</w:t>
      </w:r>
    </w:p>
    <w:p>
      <w:pPr>
        <w:pStyle w:val="FirstParagraph"/>
      </w:pPr>
      <w:r>
        <w:t xml:space="preserve">These changes were followed by a fresh database rebuild, application startup verification, targeted regression and full regression.</w:t>
      </w:r>
    </w:p>
    <w:p>
      <w:pPr>
        <w:pStyle w:val="Heading2"/>
      </w:pPr>
      <w:bookmarkStart w:id="33" w:name="_4ad17a182e13bbcc07f9fa37ca0bdfeb103e583"/>
      <w:r>
        <w:t xml:space="preserve">9. Authorized Next Phase</w:t>
      </w:r>
    </w:p>
    <w:p>
      <w:pPr>
        <w:pStyle w:val="FirstParagraph"/>
      </w:pPr>
      <w:r>
        <w:t xml:space="preserve">The next phase is</w:t>
      </w:r>
      <w:r>
        <w:t xml:space="preserve"> </w:t>
      </w:r>
      <w:r>
        <w:rPr>
          <w:b/>
          <w:bCs/>
        </w:rPr>
        <w:t xml:space="preserve">Institutional Risk Semantics</w:t>
      </w:r>
      <w:r>
        <w:t xml:space="preserve">.</w:t>
      </w:r>
    </w:p>
    <w:p>
      <w:pPr>
        <w:pStyle w:val="BodyText"/>
      </w:pPr>
      <w:r>
        <w:t xml:space="preserve">The order of work is intentionally semantic-first:</w:t>
      </w:r>
    </w:p>
    <w:p>
      <w:pPr>
        <w:pStyle w:val="Compact"/>
        <w:numPr>
          <w:ilvl w:val="0"/>
          <w:numId w:val="1007"/>
        </w:numPr>
      </w:pPr>
      <w:r>
        <w:t xml:space="preserve">Define explicit decision-state semantics.</w:t>
      </w:r>
    </w:p>
    <w:p>
      <w:pPr>
        <w:pStyle w:val="Compact"/>
        <w:numPr>
          <w:ilvl w:val="0"/>
          <w:numId w:val="1007"/>
        </w:numPr>
      </w:pPr>
      <w:r>
        <w:t xml:space="preserve">Replace implicit averaging with versioned aggregation policy behavior.</w:t>
      </w:r>
    </w:p>
    <w:p>
      <w:pPr>
        <w:pStyle w:val="Compact"/>
        <w:numPr>
          <w:ilvl w:val="0"/>
          <w:numId w:val="1007"/>
        </w:numPr>
      </w:pPr>
      <w:r>
        <w:t xml:space="preserve">Formalize regulatory/control precedence above numeric scoring where required.</w:t>
      </w:r>
    </w:p>
    <w:p>
      <w:pPr>
        <w:pStyle w:val="Compact"/>
        <w:numPr>
          <w:ilvl w:val="0"/>
          <w:numId w:val="1007"/>
        </w:numPr>
      </w:pPr>
      <w:r>
        <w:t xml:space="preserve">Correct and re-probe the Graph contract.</w:t>
      </w:r>
    </w:p>
    <w:p>
      <w:pPr>
        <w:pStyle w:val="Compact"/>
        <w:numPr>
          <w:ilvl w:val="0"/>
          <w:numId w:val="1007"/>
        </w:numPr>
      </w:pPr>
      <w:r>
        <w:t xml:space="preserve">Complete evidence context and provenance enrichment.</w:t>
      </w:r>
    </w:p>
    <w:p>
      <w:pPr>
        <w:pStyle w:val="Compact"/>
        <w:numPr>
          <w:ilvl w:val="0"/>
          <w:numId w:val="1007"/>
        </w:numPr>
      </w:pPr>
      <w:r>
        <w:t xml:space="preserve">Execute the remaining production-assurance gates.</w:t>
      </w:r>
    </w:p>
    <w:p>
      <w:pPr>
        <w:pStyle w:val="FirstParagraph"/>
      </w:pPr>
      <w:r>
        <w:t xml:space="preserve">No blind threshold tuning is authorized as a substitute for these semantics.</w:t>
      </w:r>
    </w:p>
    <w:p>
      <w:pPr>
        <w:pStyle w:val="Heading2"/>
      </w:pPr>
      <w:bookmarkStart w:id="34" w:name="_1ea3ac310cab992d61674742baba4593ae9118b"/>
      <w:r>
        <w:t xml:space="preserve">10. Governance Position</w:t>
      </w:r>
    </w:p>
    <w:p>
      <w:pPr>
        <w:pStyle w:val="FirstParagraph"/>
      </w:pPr>
      <w:r>
        <w:t xml:space="preserve">The following remain in force:</w:t>
      </w:r>
    </w:p>
    <w:p>
      <w:pPr>
        <w:pStyle w:val="Compact"/>
        <w:numPr>
          <w:ilvl w:val="0"/>
          <w:numId w:val="1008"/>
        </w:numPr>
      </w:pPr>
      <w:r>
        <w:t xml:space="preserve">Frozen Core remains protected from opportunistic feature expansion.</w:t>
      </w:r>
    </w:p>
    <w:p>
      <w:pPr>
        <w:pStyle w:val="Compact"/>
        <w:numPr>
          <w:ilvl w:val="0"/>
          <w:numId w:val="1008"/>
        </w:numPr>
      </w:pPr>
      <w:r>
        <w:t xml:space="preserve">The frontend remains a presentation/interaction surface, not a second decision engine.</w:t>
      </w:r>
    </w:p>
    <w:p>
      <w:pPr>
        <w:pStyle w:val="Compact"/>
        <w:numPr>
          <w:ilvl w:val="0"/>
          <w:numId w:val="1008"/>
        </w:numPr>
      </w:pPr>
      <w:r>
        <w:t xml:space="preserve">Fares remains a source banking/test system, not an HISN identity domain.</w:t>
      </w:r>
    </w:p>
    <w:p>
      <w:pPr>
        <w:pStyle w:val="Compact"/>
        <w:numPr>
          <w:ilvl w:val="0"/>
          <w:numId w:val="1008"/>
        </w:numPr>
      </w:pPr>
      <w:r>
        <w:t xml:space="preserve">Existing observations must remain classified rather than silently converted into resolved claims.</w:t>
      </w:r>
    </w:p>
    <w:p>
      <w:pPr>
        <w:pStyle w:val="Compact"/>
        <w:numPr>
          <w:ilvl w:val="0"/>
          <w:numId w:val="1008"/>
        </w:numPr>
      </w:pPr>
      <w:r>
        <w:t xml:space="preserve">Production claims require evidence appropriate to the claim strength.</w:t>
      </w:r>
    </w:p>
    <w:p>
      <w:pPr>
        <w:pStyle w:val="Heading2"/>
      </w:pPr>
      <w:bookmarkStart w:id="35" w:name="_d0cb0fe976345978a26da2d31cc17fa31dfab39"/>
      <w:r>
        <w:t xml:space="preserve">11. Executive Conclusion</w:t>
      </w:r>
    </w:p>
    <w:p>
      <w:pPr>
        <w:pStyle w:val="FirstParagraph"/>
      </w:pPr>
      <w:r>
        <w:rPr>
          <w:b/>
          <w:bCs/>
        </w:rPr>
        <w:t xml:space="preserve">HISN has passed the controlled Pilot Exit threshold, but has not passed final Production Assurance.</w:t>
      </w:r>
    </w:p>
    <w:p>
      <w:pPr>
        <w:pStyle w:val="BodyText"/>
      </w:pPr>
      <w:r>
        <w:t xml:space="preserve">The evidence is strong enough to advance, but not strong enough to declare everything solved.</w:t>
      </w:r>
    </w:p>
    <w:p>
      <w:pPr>
        <w:pStyle w:val="BodyText"/>
      </w:pPr>
      <w:r>
        <w:t xml:space="preserve">The institutional value of the pilot is therefore twofold:</w:t>
      </w:r>
    </w:p>
    <w:p>
      <w:pPr>
        <w:pStyle w:val="SourceCode"/>
      </w:pPr>
      <w:r>
        <w:rPr>
          <w:rStyle w:val="VerbatimChar"/>
        </w:rPr>
        <w:t xml:space="preserve">1. It proves the canonical decision runtime is real and testable.</w:t>
      </w:r>
      <w:r>
        <w:br/>
      </w:r>
      <w:r>
        <w:rPr>
          <w:rStyle w:val="VerbatimChar"/>
        </w:rPr>
        <w:t xml:space="preserve">2. It identifies the remaining semantic and operational controls precisely enough to govern the next phase.</w:t>
      </w:r>
    </w:p>
    <w:p>
      <w:pPr>
        <w:pStyle w:val="FirstParagraph"/>
      </w:pPr>
      <w:r>
        <w:rPr>
          <w:b/>
          <w:bCs/>
        </w:rPr>
        <w:t xml:space="preserve">Executive Status:</w:t>
      </w:r>
      <w:r>
        <w:t xml:space="preserve"> </w:t>
      </w:r>
      <w:r>
        <w:rPr>
          <w:rStyle w:val="VerbatimChar"/>
        </w:rPr>
        <w:t xml:space="preserve">PILOT EXIT — ACCEPT WITH OBSERVATIONS</w:t>
      </w:r>
      <w:r>
        <w:br/>
      </w:r>
      <w:r>
        <w:rPr>
          <w:b/>
          <w:bCs/>
        </w:rPr>
        <w:t xml:space="preserve">Next Phase:</w:t>
      </w:r>
      <w:r>
        <w:t xml:space="preserve"> </w:t>
      </w:r>
      <w:r>
        <w:rPr>
          <w:rStyle w:val="VerbatimChar"/>
        </w:rPr>
        <w:t xml:space="preserve">INSTITUTIONAL RISK SEMANTICS</w:t>
      </w:r>
      <w:r>
        <w:br/>
      </w:r>
      <w:r>
        <w:rPr>
          <w:b/>
          <w:bCs/>
        </w:rPr>
        <w:t xml:space="preserve">Final Production Assurance:</w:t>
      </w:r>
      <w:r>
        <w:t xml:space="preserve"> </w:t>
      </w:r>
      <w:r>
        <w:rPr>
          <w:rStyle w:val="VerbatimChar"/>
        </w:rPr>
        <w:t xml:space="preserve">NOT YET CLOSED</w:t>
      </w:r>
      <w:r>
        <w:br/>
      </w:r>
      <w:r>
        <w:rPr>
          <w:b/>
          <w:bCs/>
        </w:rPr>
        <w:t xml:space="preserve">Reference Commit:</w:t>
      </w:r>
      <w:r>
        <w:t xml:space="preserve"> </w:t>
      </w:r>
      <w:r>
        <w:rPr>
          <w:rStyle w:val="VerbatimChar"/>
        </w:rPr>
        <w:t xml:space="preserve">6bd8d2b7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Post Pilot Executive Assessment v0.1</dc:title>
  <dc:creator>HISN Platform</dc:creator>
  <cp:keywords>HISN, FCDOS, financial crime, decision operating system</cp:keywords>
  <dcterms:created xsi:type="dcterms:W3CDTF">2026-10-13T12:57:05Z</dcterms:created>
  <dcterms:modified xsi:type="dcterms:W3CDTF">2026-10-13T12:57:05Z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