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ed7c9ed85adac5ed9e4883b4882384e5c4d6399"/>
      <w:r>
        <w:t xml:space="preserve">HISN Enterprise — Valuation &amp; Due-Diligence Report v1.0</w:t>
      </w:r>
    </w:p>
    <w:p>
      <w:pPr>
        <w:pStyle w:val="FirstParagraph"/>
      </w:pPr>
      <w:r>
        <w:rPr>
          <w:b/>
          <w:bCs/>
        </w:rPr>
        <w:t xml:space="preserve">Valuation date:</w:t>
      </w:r>
      <w:r>
        <w:t xml:space="preserve"> </w:t>
      </w:r>
      <w:r>
        <w:t xml:space="preserve">2026-08-14</w:t>
      </w:r>
      <w:r>
        <w:br/>
      </w:r>
      <w:r>
        <w:rPr>
          <w:b/>
          <w:bCs/>
        </w:rPr>
        <w:t xml:space="preserve">Technical baseline:</w:t>
      </w:r>
      <w:r>
        <w:t xml:space="preserve"> </w:t>
      </w:r>
      <w:r>
        <w:rPr>
          <w:rStyle w:val="VerbatimChar"/>
        </w:rPr>
        <w:t xml:space="preserve">0c526975aa63a839bcb4395bd501e5c5fbcf3a5e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Preliminary investment-grade working report; subject to financial, legal, commercial and independent security DD.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d0cb0fe976345978a26da2d31cc17fa31dfab39"/>
      <w:r>
        <w:t xml:space="preserve">1. Executive conclusion</w:t>
      </w:r>
    </w:p>
    <w:p>
      <w:pPr>
        <w:pStyle w:val="FirstParagraph"/>
      </w:pPr>
      <w:r>
        <w:t xml:space="preserve">HISN should currently be positioned as an</w:t>
      </w:r>
      <w:r>
        <w:t xml:space="preserve"> </w:t>
      </w:r>
      <w:r>
        <w:rPr>
          <w:b/>
          <w:bCs/>
        </w:rPr>
        <w:t xml:space="preserve">advanced pre-seed enterprise technology company</w:t>
      </w:r>
      <w:r>
        <w:t xml:space="preserve">, not as an idea-stage startup and not yet as a proven Seed/Series-A commercial company.</w:t>
      </w:r>
    </w:p>
    <w:p>
      <w:pPr>
        <w:pStyle w:val="BodyText"/>
      </w:pPr>
      <w:r>
        <w:t xml:space="preserve">The repository demonstrates a substantial technology asset: FCDOS positioning, modular-monolith architecture, canonical decision runtime, evidence/audit concepts, domain engines, API surface, enterprise frontend, PostgreSQL 16, Python 3.12, Docker, CI/CD, security architecture, proprietary-IP notice, tenant-isolation hardening and canonical architecture SSOT controls.</w:t>
      </w:r>
    </w:p>
    <w:p>
      <w:pPr>
        <w:pStyle w:val="BodyText"/>
      </w:pPr>
      <w:r>
        <w:t xml:space="preserve">The main valuation discount is therefore</w:t>
      </w:r>
      <w:r>
        <w:t xml:space="preserve"> </w:t>
      </w:r>
      <w:r>
        <w:rPr>
          <w:b/>
          <w:bCs/>
        </w:rPr>
        <w:t xml:space="preserve">commercial validation</w:t>
      </w:r>
      <w:r>
        <w:t xml:space="preserve">, not the existence of the core technology asset.</w:t>
      </w:r>
    </w:p>
    <w:p>
      <w:pPr>
        <w:pStyle w:val="Heading3"/>
      </w:pPr>
      <w:bookmarkStart w:id="11" w:name="_dc506269ac60ac164d16780c0bbed5919ee0c08"/>
      <w:r>
        <w:t xml:space="preserve">Current indicative valuation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Defensive floor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Base-case fair value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25M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Negotiation opening target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27.5M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Stretch case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35M+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Requires materially stronger traction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Not currently defensible as fair value without new evidence</w:t>
            </w:r>
          </w:p>
        </w:tc>
      </w:tr>
    </w:tbl>
    <w:p>
      <w:pPr>
        <w:pStyle w:val="Heading3"/>
      </w:pPr>
      <w:bookmarkStart w:id="12" w:name="_78d35fe989ecad2da698048600c15b672d6256d"/>
      <w:r>
        <w:t xml:space="preserve">Recommended financing case</w:t>
      </w:r>
    </w:p>
    <w:p>
      <w:pPr>
        <w:pStyle w:val="FirstParagraph"/>
      </w:pPr>
      <w:r>
        <w:rPr>
          <w:b/>
          <w:bCs/>
        </w:rPr>
        <w:t xml:space="preserve">Raise:</w:t>
      </w:r>
      <w:r>
        <w:t xml:space="preserve"> </w:t>
      </w:r>
      <w:r>
        <w:t xml:space="preserve">SAR 6M</w:t>
      </w:r>
      <w:r>
        <w:br/>
      </w:r>
      <w:r>
        <w:rPr>
          <w:b/>
          <w:bCs/>
        </w:rPr>
        <w:t xml:space="preserve">Target pre-money:</w:t>
      </w:r>
      <w:r>
        <w:t xml:space="preserve"> </w:t>
      </w:r>
      <w:r>
        <w:t xml:space="preserve">SAR 25M</w:t>
      </w:r>
      <w:r>
        <w:br/>
      </w:r>
      <w:r>
        <w:rPr>
          <w:b/>
          <w:bCs/>
        </w:rPr>
        <w:t xml:space="preserve">Post-money:</w:t>
      </w:r>
      <w:r>
        <w:t xml:space="preserve"> </w:t>
      </w:r>
      <w:r>
        <w:t xml:space="preserve">SAR 31M</w:t>
      </w:r>
      <w:r>
        <w:br/>
      </w:r>
      <w:r>
        <w:rPr>
          <w:b/>
          <w:bCs/>
        </w:rPr>
        <w:t xml:space="preserve">Investor ownership:</w:t>
      </w:r>
      <w:r>
        <w:t xml:space="preserve"> </w:t>
      </w:r>
      <w:r>
        <w:t xml:space="preserve">approximately 19.35%</w:t>
      </w:r>
    </w:p>
    <w:p>
      <w:pPr>
        <w:pStyle w:val="BodyText"/>
      </w:pPr>
      <w:r>
        <w:t xml:space="preserve">The financing should be structured around measurable de-risking milestones rather than feature accumulation.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14563a58eb1f4592ecb4938f563abb0b652162d"/>
      <w:r>
        <w:t xml:space="preserve">2. Technical due diligence assessment</w:t>
      </w:r>
    </w:p>
    <w:p>
      <w:pPr>
        <w:pStyle w:val="Heading3"/>
      </w:pPr>
      <w:bookmarkStart w:id="14" w:name="_strengths"/>
      <w:r>
        <w:t xml:space="preserve">Strengths</w:t>
      </w:r>
    </w:p>
    <w:p>
      <w:pPr>
        <w:pStyle w:val="Compact"/>
        <w:numPr>
          <w:ilvl w:val="0"/>
          <w:numId w:val="1001"/>
        </w:numPr>
      </w:pPr>
      <w:r>
        <w:t xml:space="preserve">Enterprise FCDOS positioning is explicit in the repository.</w:t>
      </w:r>
    </w:p>
    <w:p>
      <w:pPr>
        <w:pStyle w:val="Compact"/>
        <w:numPr>
          <w:ilvl w:val="0"/>
          <w:numId w:val="1001"/>
        </w:numPr>
      </w:pPr>
      <w:r>
        <w:t xml:space="preserve">Decision flow is evidence-backed and governed rather than AI-autonomous.</w:t>
      </w:r>
    </w:p>
    <w:p>
      <w:pPr>
        <w:pStyle w:val="Compact"/>
        <w:numPr>
          <w:ilvl w:val="0"/>
          <w:numId w:val="1001"/>
        </w:numPr>
      </w:pPr>
      <w:r>
        <w:t xml:space="preserve">Modular-monolith architecture is appropriate for the current stage and avoids premature microservice complexity.</w:t>
      </w:r>
    </w:p>
    <w:p>
      <w:pPr>
        <w:pStyle w:val="Compact"/>
        <w:numPr>
          <w:ilvl w:val="0"/>
          <w:numId w:val="1001"/>
        </w:numPr>
      </w:pPr>
      <w:r>
        <w:t xml:space="preserve">Canonical architecture topology is treated as an SSOT and protected by tests.</w:t>
      </w:r>
    </w:p>
    <w:p>
      <w:pPr>
        <w:pStyle w:val="Compact"/>
        <w:numPr>
          <w:ilvl w:val="0"/>
          <w:numId w:val="1001"/>
        </w:numPr>
      </w:pPr>
      <w:r>
        <w:t xml:space="preserve">Tenant RLS work has been elevated toward migration/test invariants.</w:t>
      </w:r>
    </w:p>
    <w:p>
      <w:pPr>
        <w:pStyle w:val="Compact"/>
        <w:numPr>
          <w:ilvl w:val="0"/>
          <w:numId w:val="1001"/>
        </w:numPr>
      </w:pPr>
      <w:r>
        <w:t xml:space="preserve">Repository includes automated test infrastructure and CI.</w:t>
      </w:r>
    </w:p>
    <w:p>
      <w:pPr>
        <w:pStyle w:val="Compact"/>
        <w:numPr>
          <w:ilvl w:val="0"/>
          <w:numId w:val="1001"/>
        </w:numPr>
      </w:pPr>
      <w:r>
        <w:t xml:space="preserve">Security posture explicitly separates architecture claims from certification claims.</w:t>
      </w:r>
    </w:p>
    <w:p>
      <w:pPr>
        <w:pStyle w:val="Compact"/>
        <w:numPr>
          <w:ilvl w:val="0"/>
          <w:numId w:val="1001"/>
        </w:numPr>
      </w:pPr>
      <w:r>
        <w:t xml:space="preserve">IP notice establishes a proprietary posture while acknowledging third-party licenses.</w:t>
      </w:r>
    </w:p>
    <w:p>
      <w:pPr>
        <w:pStyle w:val="Heading3"/>
      </w:pPr>
      <w:bookmarkStart w:id="15" w:name="_48faf30bebe9dd7cbccbce7ccc9605c38b9bb3b"/>
      <w:r>
        <w:t xml:space="preserve">Technical rating</w:t>
      </w:r>
    </w:p>
    <w:p>
      <w:pPr>
        <w:pStyle w:val="FirstParagraph"/>
      </w:pPr>
      <w:r>
        <w:rPr>
          <w:b/>
          <w:bCs/>
        </w:rPr>
        <w:t xml:space="preserve">8.2 / 10</w:t>
      </w:r>
    </w:p>
    <w:p>
      <w:pPr>
        <w:pStyle w:val="BodyText"/>
      </w:pPr>
      <w:r>
        <w:t xml:space="preserve">This is a technical-readiness score, not a production-certification score.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6" w:name="_d9565f8ffd0b7232cafd0f94bb88e0f32c5cab8"/>
      <w:r>
        <w:t xml:space="preserve">3. Commercial due diligence assessment</w:t>
      </w:r>
    </w:p>
    <w:p>
      <w:pPr>
        <w:pStyle w:val="FirstParagraph"/>
      </w:pPr>
      <w:r>
        <w:t xml:space="preserve">Current data-room evidence does not establish recurring revenue, paid institutional customers, production bank deployment, repeatable sales economics, retention, CAC/LTV or customer case studies.</w:t>
      </w:r>
    </w:p>
    <w:p>
      <w:pPr>
        <w:pStyle w:val="Heading3"/>
      </w:pPr>
      <w:bookmarkStart w:id="17" w:name="_6a2970e4d4eeaafa60100754feef5a4009ccaca"/>
      <w:r>
        <w:t xml:space="preserve">Commercial rating</w:t>
      </w:r>
    </w:p>
    <w:p>
      <w:pPr>
        <w:pStyle w:val="FirstParagraph"/>
      </w:pPr>
      <w:r>
        <w:rPr>
          <w:b/>
          <w:bCs/>
        </w:rPr>
        <w:t xml:space="preserve">3 / 10</w:t>
      </w:r>
    </w:p>
    <w:p>
      <w:pPr>
        <w:pStyle w:val="Heading3"/>
      </w:pPr>
      <w:bookmarkStart w:id="18" w:name="_4fb3f96c8035f14d292308507b7cae38140dc24"/>
      <w:r>
        <w:t xml:space="preserve">Traction rating</w:t>
      </w:r>
    </w:p>
    <w:p>
      <w:pPr>
        <w:pStyle w:val="FirstParagraph"/>
      </w:pPr>
      <w:r>
        <w:rPr>
          <w:b/>
          <w:bCs/>
        </w:rPr>
        <w:t xml:space="preserve">1.5 / 10</w:t>
      </w:r>
    </w:p>
    <w:p>
      <w:pPr>
        <w:pStyle w:val="BodyText"/>
      </w:pPr>
      <w:r>
        <w:t xml:space="preserve">This is the largest valuation discount.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6f3bad1f3ffac02fc0e6eb7b3eea083c96fd220"/>
      <w:r>
        <w:t xml:space="preserve">4. Market thesis</w:t>
      </w:r>
    </w:p>
    <w:p>
      <w:pPr>
        <w:pStyle w:val="FirstParagraph"/>
      </w:pPr>
      <w:r>
        <w:t xml:space="preserve">HISN is not valued as an AML-only utility. The addressable problem is financial-crime decision infrastructure spanning AML, fraud, KYC/KYB, sanctions, screening, transaction monitoring, case management and regulatory decision workflows.</w:t>
      </w:r>
    </w:p>
    <w:p>
      <w:pPr>
        <w:pStyle w:val="BodyText"/>
      </w:pPr>
      <w:r>
        <w:t xml:space="preserve">The initial beachhead should remain Saudi Arabia. GCC expansion is an upside case after Saudi product-market fit rather than a substitute for local validation.</w:t>
      </w:r>
    </w:p>
    <w:p>
      <w:pPr>
        <w:pStyle w:val="BodyText"/>
      </w:pPr>
      <w:r>
        <w:t xml:space="preserve">The investment file must use a bottom-up Saudi TAM/SAM/SOM model rather than relying on a single global market-size statistic.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101768fa658fd866b369fcb5673d246311a1ba6"/>
      <w:r>
        <w:t xml:space="preserve">5. Competitive thesis</w:t>
      </w:r>
    </w:p>
    <w:p>
      <w:pPr>
        <w:pStyle w:val="FirstParagraph"/>
      </w:pPr>
      <w:r>
        <w:t xml:space="preserve">HISN must not claim that it has no competition.</w:t>
      </w:r>
    </w:p>
    <w:p>
      <w:pPr>
        <w:pStyle w:val="BodyText"/>
      </w:pPr>
      <w:r>
        <w:t xml:space="preserve">The competitive set includes Saudi and international financial-crime, screening, AML and risk-intelligence platforms. The defensible distinction is the</w:t>
      </w:r>
      <w:r>
        <w:t xml:space="preserve"> </w:t>
      </w:r>
      <w:r>
        <w:rPr>
          <w:b/>
          <w:bCs/>
        </w:rPr>
        <w:t xml:space="preserve">decision-infrastructure layer</w:t>
      </w:r>
      <w:r>
        <w:t xml:space="preserve">: signal → evidence/context → intelligence → policy → governed decision → action/review → case/audit.</w:t>
      </w:r>
    </w:p>
    <w:p>
      <w:pPr>
        <w:pStyle w:val="BodyText"/>
      </w:pPr>
      <w:r>
        <w:t xml:space="preserve">The distinction is valuable only to the extent that the product demonstrates this architecture in customer workflows.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57ff1129dff4166b4027e217a832fb420cd2261"/>
      <w:r>
        <w:t xml:space="preserve">6. IP assessment</w:t>
      </w:r>
    </w:p>
    <w:p>
      <w:pPr>
        <w:pStyle w:val="Heading3"/>
      </w:pPr>
      <w:bookmarkStart w:id="22" w:name="_1f1c3022c5299f7d063230ce028b807d37228da"/>
      <w:r>
        <w:t xml:space="preserve">Current rating</w:t>
      </w:r>
    </w:p>
    <w:p>
      <w:pPr>
        <w:pStyle w:val="FirstParagraph"/>
      </w:pPr>
      <w:r>
        <w:rPr>
          <w:b/>
          <w:bCs/>
        </w:rPr>
        <w:t xml:space="preserve">7.5 / 10</w:t>
      </w:r>
    </w:p>
    <w:p>
      <w:pPr>
        <w:pStyle w:val="BodyText"/>
      </w:pPr>
      <w:r>
        <w:t xml:space="preserve">The repository contains a proprietary product/architecture/source-code notice. The final legal DD must establish chain of title through founder, employee and contractor IP assignments, third-party dependency/license review, trademark status and other applicable rights.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46da31abbf834d3ea50034c75d5f7d355c91ab7"/>
      <w:r>
        <w:t xml:space="preserve">7. Security and regulatory assessment</w:t>
      </w:r>
    </w:p>
    <w:p>
      <w:pPr>
        <w:pStyle w:val="Heading3"/>
      </w:pPr>
      <w:bookmarkStart w:id="24" w:name="_2ad9d2068503b8a5b87db1c31a8b5c96c3c7544"/>
      <w:r>
        <w:t xml:space="preserve">Current rating</w:t>
      </w:r>
    </w:p>
    <w:p>
      <w:pPr>
        <w:pStyle w:val="FirstParagraph"/>
      </w:pPr>
      <w:r>
        <w:rPr>
          <w:b/>
          <w:bCs/>
        </w:rPr>
        <w:t xml:space="preserve">7.5 / 10 security architecture</w:t>
      </w:r>
      <w:r>
        <w:br/>
      </w:r>
      <w:r>
        <w:rPr>
          <w:b/>
          <w:bCs/>
        </w:rPr>
        <w:t xml:space="preserve">8 / 10 regulatory positioning</w:t>
      </w:r>
    </w:p>
    <w:p>
      <w:pPr>
        <w:pStyle w:val="BodyText"/>
      </w:pPr>
      <w:r>
        <w:t xml:space="preserve">The security documentation describes defense-in-depth across identity/access, decision governance, data/evidence, application/API and infrastructure/supply chain. It explicitly states that it is not a certification, regulatory attestation or penetration-test report.</w:t>
      </w:r>
    </w:p>
    <w:p>
      <w:pPr>
        <w:pStyle w:val="BodyText"/>
      </w:pPr>
      <w:r>
        <w:t xml:space="preserve">This is the correct disclosure posture for investors.</w:t>
      </w:r>
    </w:p>
    <w:p>
      <w:pPr>
        <w:pStyle w:val="BodyText"/>
      </w:pPr>
      <w:r>
        <w:t xml:space="preserve">The next proof layer is independent validation: penetration testing, vulnerability assessment, operational controls, backup/recovery, monitoring, access reviews, incident response and applicable Saudi regulatory mappings.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bc994295aae8bd21a0c00d64a2ff7b00ca546d8"/>
      <w:r>
        <w:t xml:space="preserve">8. Valuation methodology</w:t>
      </w:r>
    </w:p>
    <w:p>
      <w:pPr>
        <w:pStyle w:val="FirstParagraph"/>
      </w:pPr>
      <w:r>
        <w:t xml:space="preserve">The current range is triangulated using:</w:t>
      </w:r>
    </w:p>
    <w:p>
      <w:pPr>
        <w:pStyle w:val="Compact"/>
        <w:numPr>
          <w:ilvl w:val="0"/>
          <w:numId w:val="1002"/>
        </w:numPr>
      </w:pPr>
      <w:r>
        <w:t xml:space="preserve">Risk-adjusted pre-seed valuation logic.</w:t>
      </w:r>
    </w:p>
    <w:p>
      <w:pPr>
        <w:pStyle w:val="Compact"/>
        <w:numPr>
          <w:ilvl w:val="0"/>
          <w:numId w:val="1002"/>
        </w:numPr>
      </w:pPr>
      <w:r>
        <w:t xml:space="preserve">Scorecard methodology.</w:t>
      </w:r>
    </w:p>
    <w:p>
      <w:pPr>
        <w:pStyle w:val="Compact"/>
        <w:numPr>
          <w:ilvl w:val="0"/>
          <w:numId w:val="1002"/>
        </w:numPr>
      </w:pPr>
      <w:r>
        <w:t xml:space="preserve">Cost-to-recreate / technology asset analysis.</w:t>
      </w:r>
    </w:p>
    <w:p>
      <w:pPr>
        <w:pStyle w:val="Compact"/>
        <w:numPr>
          <w:ilvl w:val="0"/>
          <w:numId w:val="1002"/>
        </w:numPr>
      </w:pPr>
      <w:r>
        <w:t xml:space="preserve">Venture method / scenario analysis.</w:t>
      </w:r>
    </w:p>
    <w:p>
      <w:pPr>
        <w:pStyle w:val="Compact"/>
        <w:numPr>
          <w:ilvl w:val="0"/>
          <w:numId w:val="1002"/>
        </w:numPr>
      </w:pPr>
      <w:r>
        <w:t xml:space="preserve">Comparable early-stage market sanity checks.</w:t>
      </w:r>
    </w:p>
    <w:p>
      <w:pPr>
        <w:pStyle w:val="Compact"/>
        <w:numPr>
          <w:ilvl w:val="0"/>
          <w:numId w:val="1002"/>
        </w:numPr>
      </w:pPr>
      <w:r>
        <w:t xml:space="preserve">Explicit commercial and regulatory risk discounts.</w:t>
      </w:r>
    </w:p>
    <w:p>
      <w:pPr>
        <w:pStyle w:val="FirstParagraph"/>
      </w:pPr>
      <w:r>
        <w:t xml:space="preserve">No single method is treated as authoritative.</w:t>
      </w:r>
    </w:p>
    <w:p>
      <w:pPr>
        <w:pStyle w:val="Heading3"/>
      </w:pPr>
      <w:bookmarkStart w:id="26" w:name="_principle"/>
      <w:r>
        <w:t xml:space="preserve">Principle</w:t>
      </w:r>
    </w:p>
    <w:p>
      <w:pPr>
        <w:pStyle w:val="FirstParagraph"/>
      </w:pPr>
      <w:r>
        <w:t xml:space="preserve">Technology development cost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company valuation. Technology creates an asset; commercial proof converts that asset into enterprise value.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7f99ebb8e5169daf3413b931ef8bf60d14163a1"/>
      <w:r>
        <w:t xml:space="preserve">9. Why 25M SAR is defensible</w:t>
      </w:r>
    </w:p>
    <w:p>
      <w:pPr>
        <w:pStyle w:val="FirstParagraph"/>
      </w:pPr>
      <w:r>
        <w:t xml:space="preserve">The 25M SAR base case reflects a balance between:</w:t>
      </w:r>
    </w:p>
    <w:p>
      <w:pPr>
        <w:pStyle w:val="Heading3"/>
      </w:pPr>
      <w:bookmarkStart w:id="28" w:name="_3d3aaf85f98e48a9c0a95c39ecb334a435377a6"/>
      <w:r>
        <w:t xml:space="preserve">Positive factors</w:t>
      </w:r>
    </w:p>
    <w:p>
      <w:pPr>
        <w:pStyle w:val="Compact"/>
        <w:numPr>
          <w:ilvl w:val="0"/>
          <w:numId w:val="1003"/>
        </w:numPr>
      </w:pPr>
      <w:r>
        <w:t xml:space="preserve">material technology asset already built;</w:t>
      </w:r>
    </w:p>
    <w:p>
      <w:pPr>
        <w:pStyle w:val="Compact"/>
        <w:numPr>
          <w:ilvl w:val="0"/>
          <w:numId w:val="1003"/>
        </w:numPr>
      </w:pPr>
      <w:r>
        <w:t xml:space="preserve">enterprise-grade architectural intent;</w:t>
      </w:r>
    </w:p>
    <w:p>
      <w:pPr>
        <w:pStyle w:val="Compact"/>
        <w:numPr>
          <w:ilvl w:val="0"/>
          <w:numId w:val="1003"/>
        </w:numPr>
      </w:pPr>
      <w:r>
        <w:t xml:space="preserve">decision-centric differentiation;</w:t>
      </w:r>
    </w:p>
    <w:p>
      <w:pPr>
        <w:pStyle w:val="Compact"/>
        <w:numPr>
          <w:ilvl w:val="0"/>
          <w:numId w:val="1003"/>
        </w:numPr>
      </w:pPr>
      <w:r>
        <w:t xml:space="preserve">regulated and potentially large market;</w:t>
      </w:r>
    </w:p>
    <w:p>
      <w:pPr>
        <w:pStyle w:val="Compact"/>
        <w:numPr>
          <w:ilvl w:val="0"/>
          <w:numId w:val="1003"/>
        </w:numPr>
      </w:pPr>
      <w:r>
        <w:t xml:space="preserve">Saudi localization opportunity;</w:t>
      </w:r>
    </w:p>
    <w:p>
      <w:pPr>
        <w:pStyle w:val="Compact"/>
        <w:numPr>
          <w:ilvl w:val="0"/>
          <w:numId w:val="1003"/>
        </w:numPr>
      </w:pPr>
      <w:r>
        <w:t xml:space="preserve">proprietary architecture and source code;</w:t>
      </w:r>
    </w:p>
    <w:p>
      <w:pPr>
        <w:pStyle w:val="Compact"/>
        <w:numPr>
          <w:ilvl w:val="0"/>
          <w:numId w:val="1003"/>
        </w:numPr>
      </w:pPr>
      <w:r>
        <w:t xml:space="preserve">security and tenant-isolation work;</w:t>
      </w:r>
    </w:p>
    <w:p>
      <w:pPr>
        <w:pStyle w:val="Compact"/>
        <w:numPr>
          <w:ilvl w:val="0"/>
          <w:numId w:val="1003"/>
        </w:numPr>
      </w:pPr>
      <w:r>
        <w:t xml:space="preserve">automated testing and CI baseline;</w:t>
      </w:r>
    </w:p>
    <w:p>
      <w:pPr>
        <w:pStyle w:val="Compact"/>
        <w:numPr>
          <w:ilvl w:val="0"/>
          <w:numId w:val="1003"/>
        </w:numPr>
      </w:pPr>
      <w:r>
        <w:t xml:space="preserve">substantial product and engineering documentation.</w:t>
      </w:r>
    </w:p>
    <w:p>
      <w:pPr>
        <w:pStyle w:val="Heading3"/>
      </w:pPr>
      <w:bookmarkStart w:id="29" w:name="_728ff3d85a577da3e1ce0caefbb9b7771367d78"/>
      <w:r>
        <w:t xml:space="preserve">Negative factors</w:t>
      </w:r>
    </w:p>
    <w:p>
      <w:pPr>
        <w:pStyle w:val="Compact"/>
        <w:numPr>
          <w:ilvl w:val="0"/>
          <w:numId w:val="1004"/>
        </w:numPr>
      </w:pPr>
      <w:r>
        <w:t xml:space="preserve">no verified ARR in the current DD set;</w:t>
      </w:r>
    </w:p>
    <w:p>
      <w:pPr>
        <w:pStyle w:val="Compact"/>
        <w:numPr>
          <w:ilvl w:val="0"/>
          <w:numId w:val="1004"/>
        </w:numPr>
      </w:pPr>
      <w:r>
        <w:t xml:space="preserve">no verified paid enterprise customers;</w:t>
      </w:r>
    </w:p>
    <w:p>
      <w:pPr>
        <w:pStyle w:val="Compact"/>
        <w:numPr>
          <w:ilvl w:val="0"/>
          <w:numId w:val="1004"/>
        </w:numPr>
      </w:pPr>
      <w:r>
        <w:t xml:space="preserve">no verified production financial-institution deployment;</w:t>
      </w:r>
    </w:p>
    <w:p>
      <w:pPr>
        <w:pStyle w:val="Compact"/>
        <w:numPr>
          <w:ilvl w:val="0"/>
          <w:numId w:val="1004"/>
        </w:numPr>
      </w:pPr>
      <w:r>
        <w:t xml:space="preserve">GTM economics not yet proven;</w:t>
      </w:r>
    </w:p>
    <w:p>
      <w:pPr>
        <w:pStyle w:val="Compact"/>
        <w:numPr>
          <w:ilvl w:val="0"/>
          <w:numId w:val="1004"/>
        </w:numPr>
      </w:pPr>
      <w:r>
        <w:t xml:space="preserve">security certification/independent validation not yet complete;</w:t>
      </w:r>
    </w:p>
    <w:p>
      <w:pPr>
        <w:pStyle w:val="Compact"/>
        <w:numPr>
          <w:ilvl w:val="0"/>
          <w:numId w:val="1004"/>
        </w:numPr>
      </w:pPr>
      <w:r>
        <w:t xml:space="preserve">team scaling and commercial execution still need evidence;</w:t>
      </w:r>
    </w:p>
    <w:p>
      <w:pPr>
        <w:pStyle w:val="Compact"/>
        <w:numPr>
          <w:ilvl w:val="0"/>
          <w:numId w:val="1004"/>
        </w:numPr>
      </w:pPr>
      <w:r>
        <w:t xml:space="preserve">company formation/corporate readiness must be completed before institutional close.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e666f7742c2d4b53e2e936631ee8d7058477f31"/>
      <w:r>
        <w:t xml:space="preserve">10. Re-rating path</w:t>
      </w:r>
    </w:p>
    <w:p>
      <w:pPr>
        <w:pStyle w:val="FirstParagraph"/>
      </w:pPr>
      <w:r>
        <w:t xml:space="preserve">The valuation should be revisited after the following milestones: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Milestone</w:t>
            </w:r>
          </w:p>
        </w:tc>
        <w:tc>
          <w:tcPr/>
          <w:p>
            <w:pPr>
              <w:pStyle w:val="Compact"/>
            </w:pPr>
            <w:r>
              <w:t xml:space="preserve">Expected effect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1–2 design partners</w:t>
            </w:r>
          </w:p>
        </w:tc>
        <w:tc>
          <w:tcPr/>
          <w:p>
            <w:pPr>
              <w:pStyle w:val="Compact"/>
            </w:pPr>
            <w:r>
              <w:t xml:space="preserve">Reduces market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paid customer</w:t>
            </w:r>
          </w:p>
        </w:tc>
        <w:tc>
          <w:tcPr/>
          <w:p>
            <w:pPr>
              <w:pStyle w:val="Compact"/>
            </w:pPr>
            <w:r>
              <w:t xml:space="preserve">Major commercial re-rating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Contracted ARR</w:t>
            </w:r>
          </w:p>
        </w:tc>
        <w:tc>
          <w:tcPr/>
          <w:p>
            <w:pPr>
              <w:pStyle w:val="Compact"/>
            </w:pPr>
            <w:r>
              <w:t xml:space="preserve">Enables revenue-based valuation 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3–5 enterprise customers</w:t>
            </w:r>
          </w:p>
        </w:tc>
        <w:tc>
          <w:tcPr/>
          <w:p>
            <w:pPr>
              <w:pStyle w:val="Compact"/>
            </w:pPr>
            <w:r>
              <w:t xml:space="preserve">Demonstrates repeatability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Measured customer ROI</w:t>
            </w:r>
          </w:p>
        </w:tc>
        <w:tc>
          <w:tcPr/>
          <w:p>
            <w:pPr>
              <w:pStyle w:val="Compact"/>
            </w:pPr>
            <w:r>
              <w:t xml:space="preserve">Strengthens pricing power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security validation</w:t>
            </w:r>
          </w:p>
        </w:tc>
        <w:tc>
          <w:tcPr/>
          <w:p>
            <w:pPr>
              <w:pStyle w:val="Compact"/>
            </w:pPr>
            <w:r>
              <w:t xml:space="preserve">Reduces enterprise/security discount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regulatory control mapping</w:t>
            </w:r>
          </w:p>
        </w:tc>
        <w:tc>
          <w:tcPr/>
          <w:p>
            <w:pPr>
              <w:pStyle w:val="Compact"/>
            </w:pPr>
            <w:r>
              <w:t xml:space="preserve">Reduces regulatory adoption friction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GCC pipeline</w:t>
            </w:r>
          </w:p>
        </w:tc>
        <w:tc>
          <w:tcPr/>
          <w:p>
            <w:pPr>
              <w:pStyle w:val="Compact"/>
            </w:pPr>
            <w:r>
              <w:t xml:space="preserve">Adds strategic expansion option</w:t>
            </w:r>
          </w:p>
        </w:tc>
      </w:tr>
    </w:tbl>
    <w:p>
      <w:pPr>
        <w:pStyle w:val="FirstParagraph"/>
      </w:pPr>
      <w:r>
        <w:t xml:space="preserve">A 50M+ SAR valuation becomes materially easier to defend after commercial proof, not after additional speculative features.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e717c0861a865842e8734a32c03434ea62be72b"/>
      <w:r>
        <w:t xml:space="preserve">11. Recommended financing</w:t>
      </w:r>
    </w:p>
    <w:p>
      <w:pPr>
        <w:pStyle w:val="Heading3"/>
      </w:pPr>
      <w:bookmarkStart w:id="32" w:name="_3a530ccafb3b872a668a070ce037065ff64604d"/>
      <w:r>
        <w:t xml:space="preserve">Base case</w:t>
      </w:r>
    </w:p>
    <w:p>
      <w:pPr>
        <w:pStyle w:val="FirstParagraph"/>
      </w:pPr>
      <w:r>
        <w:rPr>
          <w:b/>
          <w:bCs/>
        </w:rPr>
        <w:t xml:space="preserve">SAR 6M at SAR 25M pre-money.</w:t>
      </w:r>
    </w:p>
    <w:p>
      <w:pPr>
        <w:pStyle w:val="BodyText"/>
      </w:pPr>
      <w:r>
        <w:t xml:space="preserve">This provides SAR 31M post-money and approximately 19.35% ownership to the new investor.</w:t>
      </w:r>
    </w:p>
    <w:p>
      <w:pPr>
        <w:pStyle w:val="Heading3"/>
      </w:pPr>
      <w:bookmarkStart w:id="33" w:name="_b2c889f47f882eaf596dbffa2e8b02c389ed7d3"/>
      <w:r>
        <w:t xml:space="preserve">Opening negotiation</w:t>
      </w:r>
    </w:p>
    <w:p>
      <w:pPr>
        <w:pStyle w:val="FirstParagraph"/>
      </w:pPr>
      <w:r>
        <w:t xml:space="preserve">Open at</w:t>
      </w:r>
      <w:r>
        <w:t xml:space="preserve"> </w:t>
      </w:r>
      <w:r>
        <w:rPr>
          <w:b/>
          <w:bCs/>
        </w:rPr>
        <w:t xml:space="preserve">SAR 27.5M pre-money</w:t>
      </w:r>
      <w:r>
        <w:t xml:space="preserve"> </w:t>
      </w:r>
      <w:r>
        <w:t xml:space="preserve">with a target close at 25M.</w:t>
      </w:r>
    </w:p>
    <w:p>
      <w:pPr>
        <w:pStyle w:val="Heading3"/>
      </w:pPr>
      <w:bookmarkStart w:id="34" w:name="_floor"/>
      <w:r>
        <w:t xml:space="preserve">Floor</w:t>
      </w:r>
    </w:p>
    <w:p>
      <w:pPr>
        <w:pStyle w:val="FirstParagraph"/>
      </w:pPr>
      <w:r>
        <w:t xml:space="preserve">Do not voluntarily cross below</w:t>
      </w:r>
      <w:r>
        <w:t xml:space="preserve"> </w:t>
      </w:r>
      <w:r>
        <w:rPr>
          <w:b/>
          <w:bCs/>
        </w:rPr>
        <w:t xml:space="preserve">SAR 20M pre-money</w:t>
      </w:r>
      <w:r>
        <w:t xml:space="preserve"> </w:t>
      </w:r>
      <w:r>
        <w:t xml:space="preserve">without a strategic consideration that materially changes the company’s probability of success, such as a major design partner, enterprise distribution channel, or unusually valuable strategic investor.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_3b8c242903304135c47fd2b218fa417ed75df07"/>
      <w:r>
        <w:t xml:space="preserve">12. Use of proceeds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SAR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/ Engineering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1.80M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30.0%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/ Infrastructure / Cloud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0.55M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/ Legal / IP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0.45M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 Sales / Commercial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0.90M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15.0%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hires / Operations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1.50M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25.0%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Contingency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0.80M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13.3%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6.00M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100%</w:t>
            </w:r>
          </w:p>
        </w:tc>
      </w:tr>
    </w:tbl>
    <w:p>
      <w:pPr>
        <w:pStyle w:val="FirstParagraph"/>
      </w:pPr>
      <w:r>
        <w:t xml:space="preserve">The commercial budget is deliberately enterprise-oriented rather than consumer marketing-oriented.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_37263bcc8aae9cd7a30752f6072c2b1cbdc9df1"/>
      <w:r>
        <w:t xml:space="preserve">13. Investment committee recommendation</w:t>
      </w:r>
    </w:p>
    <w:p>
      <w:pPr>
        <w:pStyle w:val="FirstParagraph"/>
      </w:pPr>
      <w:r>
        <w:rPr>
          <w:b/>
          <w:bCs/>
        </w:rPr>
        <w:t xml:space="preserve">Recommendation: Proceed to full due diligence and qualified pre-seed fundraising.</w:t>
      </w:r>
    </w:p>
    <w:p>
      <w:pPr>
        <w:pStyle w:val="BodyText"/>
      </w:pPr>
      <w:r>
        <w:t xml:space="preserve">The technology case is strong enough to justify institutional diligence. The commercial case is not yet strong enough to justify a mature-startup valuation.</w:t>
      </w:r>
    </w:p>
    <w:p>
      <w:pPr>
        <w:pStyle w:val="BodyText"/>
      </w:pPr>
      <w:r>
        <w:t xml:space="preserve">The principal objective of the round is to convert technical readiness into commercial evidence.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_6857d1c822afbedf4fdfa3e0d7a8f8183728d57"/>
      <w:r>
        <w:t xml:space="preserve">14. Critical disclosure</w:t>
      </w:r>
    </w:p>
    <w:p>
      <w:pPr>
        <w:pStyle w:val="FirstParagraph"/>
      </w:pPr>
      <w:r>
        <w:t xml:space="preserve">The repository README at the technical baseline reports</w:t>
      </w:r>
      <w:r>
        <w:t xml:space="preserve"> </w:t>
      </w:r>
      <w:r>
        <w:rPr>
          <w:b/>
          <w:bCs/>
        </w:rPr>
        <w:t xml:space="preserve">165 tests passed</w:t>
      </w:r>
      <w:r>
        <w:t xml:space="preserve">. This report does not claim a higher test count until a newer run is committed or independently evidenced. This distinction is deliberate and should remain the standard for all investor-facing materials.</w:t>
      </w:r>
    </w:p>
    <w:p>
      <w:pPr>
        <w:pStyle w:val="BodyText"/>
      </w:pPr>
      <w:r>
        <w:t xml:space="preserve">The older</w:t>
      </w:r>
      <w:r>
        <w:t xml:space="preserve"> </w:t>
      </w:r>
      <w:r>
        <w:rPr>
          <w:rStyle w:val="VerbatimChar"/>
        </w:rPr>
        <w:t xml:space="preserve">docs/ROADMAP.md</w:t>
      </w:r>
      <w:r>
        <w:t xml:space="preserve"> </w:t>
      </w:r>
      <w:r>
        <w:t xml:space="preserve">should not be used as the sole current-status source because its phase labels do not fully reflect the latest repository hardening and SSOT work. A dated current-status baseline has therefore been created alongside this report.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VALUATION DD REPORT V1.0</dc:title>
  <dc:creator>HISN Platform</dc:creator>
  <cp:keywords>HISN, FCDOS, financial crime, decision operating system</cp:keywords>
  <dcterms:created xsi:type="dcterms:W3CDTF">2026-10-13T12:57:07Z</dcterms:created>
  <dcterms:modified xsi:type="dcterms:W3CDTF">2026-10-13T12:57:07Z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