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b36932627de794dd6ac84c0b0ba023a459e8315"/>
      <w:r>
        <w:t xml:space="preserve">HISN Platform Roadmap</w:t>
      </w:r>
    </w:p>
    <w:p>
      <w:pPr>
        <w:pStyle w:val="FirstParagraph"/>
      </w:pPr>
      <w:r>
        <w:rPr>
          <w:b/>
          <w:bCs/>
        </w:rPr>
        <w:t xml:space="preserve">Current state:</w:t>
      </w:r>
      <w:r>
        <w:t xml:space="preserve"> </w:t>
      </w:r>
      <w:r>
        <w:t xml:space="preserve">Pilot Readiness — final evidence reconciliation</w:t>
      </w:r>
      <w:r>
        <w:t xml:space="preserve"> </w:t>
      </w:r>
      <w:r>
        <w:rPr>
          <w:b/>
          <w:bCs/>
        </w:rPr>
        <w:t xml:space="preserve">Effective:</w:t>
      </w:r>
      <w:r>
        <w:t xml:space="preserve"> </w:t>
      </w:r>
      <w:r>
        <w:t xml:space="preserve">2026-08-26</w:t>
      </w:r>
      <w:r>
        <w:t xml:space="preserve"> </w:t>
      </w:r>
      <w:r>
        <w:rPr>
          <w:b/>
          <w:bCs/>
        </w:rPr>
        <w:t xml:space="preserve">Architecture authority:</w:t>
      </w:r>
      <w:r>
        <w:t xml:space="preserve"> </w:t>
      </w:r>
      <w:r>
        <w:t xml:space="preserve">HISN Architecture Bible</w:t>
      </w:r>
      <w:r>
        <w:t xml:space="preserve"> </w:t>
      </w:r>
      <w:r>
        <w:rPr>
          <w:b/>
          <w:bCs/>
        </w:rPr>
        <w:t xml:space="preserve">Execution branch: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only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2ecca224717f65a852163bcecf83bdee5879631"/>
      <w:r>
        <w:t xml:space="preserve">Closed Gates</w:t>
      </w:r>
    </w:p>
    <w:p>
      <w:pPr>
        <w:pStyle w:val="Heading3"/>
      </w:pPr>
      <w:bookmarkStart w:id="11" w:name="_3431594b5a6dc2e0f48db43d6a68fe831493b9c"/>
      <w:r>
        <w:t xml:space="preserve">Gate 01 — Production E2E Golden Path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CLOSED. The prior Gate 01 status artifact is historical evidence; the current roadmap is authoritative for release sequencing.</w:t>
      </w:r>
    </w:p>
    <w:p>
      <w:pPr>
        <w:pStyle w:val="Heading3"/>
      </w:pPr>
      <w:bookmarkStart w:id="12" w:name="_8923b8732ce92f401524a32550fddb0807be0dc"/>
      <w:r>
        <w:t xml:space="preserve">Gate 02 — Decision Details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CLOSED — canonical Decision Details composition and tenant-scoped audit/integrity contract verified.</w:t>
      </w:r>
    </w:p>
    <w:p>
      <w:pPr>
        <w:pStyle w:val="Heading3"/>
      </w:pPr>
      <w:bookmarkStart w:id="13" w:name="_3d5c8678c0bdf14faf4d5ced2ded9f08bf33404"/>
      <w:r>
        <w:t xml:space="preserve">Gate 03 — Real Engine Findings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CLOSED — canonical engine findings and KYB/UBO evidence verified.</w:t>
      </w:r>
    </w:p>
    <w:p>
      <w:pPr>
        <w:pStyle w:val="Heading3"/>
      </w:pPr>
      <w:bookmarkStart w:id="14" w:name="_64f45082cba88eb087e4afb74062cbc4159dd95"/>
      <w:r>
        <w:t xml:space="preserve">Gate 04 — Decision Lifecycle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CLOSED — authenticated runtime lifecycle, Decision DNA persistence, audit chain, tenant isolation and idempotency verified locally.</w:t>
      </w:r>
    </w:p>
    <w:p>
      <w:pPr>
        <w:pStyle w:val="Heading3"/>
      </w:pPr>
      <w:bookmarkStart w:id="15" w:name="_3bff7db15c6756c0d5ea6d735060920e47d52eb"/>
      <w:r>
        <w:t xml:space="preserve">Gate 05 — Transaction Intelligence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CLOSED — canonical read model, lineage composition, tenant context and security-invoker view boundary verified.</w:t>
      </w:r>
    </w:p>
    <w:p>
      <w:pPr>
        <w:pStyle w:val="Heading3"/>
      </w:pPr>
      <w:bookmarkStart w:id="16" w:name="_1b1868b9d619146d63d5224f06ef4cb6b8aea5d"/>
      <w:r>
        <w:t xml:space="preserve">Gate 06 — Case / Investigation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CLOSED — canonical policy-to-case boundary, tenant RLS, idempotency and runtime critical-escalation integration verified.</w:t>
      </w:r>
    </w:p>
    <w:p>
      <w:pPr>
        <w:pStyle w:val="Heading3"/>
      </w:pPr>
      <w:bookmarkStart w:id="17" w:name="_da722b9706208bfed721f7598e576760b248982"/>
      <w:r>
        <w:t xml:space="preserve">Gate 07 — Executive KPIs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CLOSED — canonical read-only KPI composition verified with real local runtime data;</w:t>
      </w:r>
      <w:r>
        <w:t xml:space="preserve"> </w:t>
      </w:r>
      <w:r>
        <w:rPr>
          <w:rStyle w:val="VerbatimChar"/>
        </w:rPr>
        <w:t xml:space="preserve">compliance_score</w:t>
      </w:r>
      <w:r>
        <w:t xml:space="preserve"> </w:t>
      </w:r>
      <w:r>
        <w:t xml:space="preserve">remains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without an authoritative calculation.</w:t>
      </w:r>
    </w:p>
    <w:p>
      <w:pPr>
        <w:pStyle w:val="Heading3"/>
      </w:pPr>
      <w:bookmarkStart w:id="18" w:name="_542a26e243e4d13b72d2bf56d9db1ebd02c77d6"/>
      <w:r>
        <w:t xml:space="preserve">Gate 08 — Enterprise RBAC / Tenant Hardening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VERIFIED — authenticated sensitive surfaces, canonical authorization, tenant binding and full terminal regression verified.</w:t>
      </w:r>
    </w:p>
    <w:p>
      <w:pPr>
        <w:pStyle w:val="Heading3"/>
      </w:pPr>
      <w:bookmarkStart w:id="19" w:name="_12215b11f8cc386520adb296cf5f3b049bde495"/>
      <w:r>
        <w:t xml:space="preserve">Gate 09 — Provider Truthfulness / Integrations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VERIFIED — provider failure is fail-closed, legitimate no-match is preserved, and the current internal watchlist matched a real persisted UN record at runtime. External providers remain undeclared until their real credentials/contracts/runtime registration are available.</w:t>
      </w:r>
    </w:p>
    <w:p>
      <w:pPr>
        <w:pStyle w:val="Heading3"/>
      </w:pPr>
      <w:bookmarkStart w:id="20" w:name="_3472859448997bdf71d5dd316c643c9a1010140"/>
      <w:r>
        <w:t xml:space="preserve">Gate 10 — Security / GRC Hardening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CLOSED — security incident remediation and terminal verification completed on</w:t>
      </w:r>
      <w:r>
        <w:t xml:space="preserve"> </w:t>
      </w:r>
      <w:r>
        <w:rPr>
          <w:rStyle w:val="VerbatimChar"/>
        </w:rPr>
        <w:t xml:space="preserve">main</w:t>
      </w:r>
      <w:r>
        <w:t xml:space="preserve">; platform version</w:t>
      </w:r>
      <w:r>
        <w:t xml:space="preserve"> </w:t>
      </w:r>
      <w:r>
        <w:rPr>
          <w:rStyle w:val="VerbatimChar"/>
        </w:rPr>
        <w:t xml:space="preserve">10.0.1</w:t>
      </w:r>
      <w:r>
        <w:t xml:space="preserve">.</w:t>
      </w:r>
    </w:p>
    <w:p>
      <w:pPr>
        <w:pStyle w:val="Heading2"/>
      </w:pPr>
      <w:bookmarkStart w:id="21" w:name="_c29047d171377d8e6fd78fa3a9411b03c329b52"/>
      <w:r>
        <w:t xml:space="preserve">Active Gate</w:t>
      </w:r>
    </w:p>
    <w:p>
      <w:pPr>
        <w:pStyle w:val="Heading3"/>
      </w:pPr>
      <w:bookmarkStart w:id="22" w:name="_1b15d62e30fcc5289959109e0c38975929080e5"/>
      <w:r>
        <w:t xml:space="preserve">Gate 11 — Pilot Readiness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ACTIVE — final release-control reconciliation only.</w:t>
      </w:r>
    </w:p>
    <w:p>
      <w:pPr>
        <w:pStyle w:val="BodyText"/>
      </w:pPr>
      <w:r>
        <w:t xml:space="preserve">Pilot entry requires evidence for:</w:t>
      </w:r>
    </w:p>
    <w:p>
      <w:pPr>
        <w:pStyle w:val="Compact"/>
        <w:numPr>
          <w:ilvl w:val="0"/>
          <w:numId w:val="1001"/>
        </w:numPr>
      </w:pPr>
      <w:r>
        <w:t xml:space="preserve">current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synchronized and clean;</w:t>
      </w:r>
    </w:p>
    <w:p>
      <w:pPr>
        <w:pStyle w:val="Compact"/>
        <w:numPr>
          <w:ilvl w:val="0"/>
          <w:numId w:val="1001"/>
        </w:numPr>
      </w:pPr>
      <w:r>
        <w:t xml:space="preserve">terminal full regression green;</w:t>
      </w:r>
    </w:p>
    <w:p>
      <w:pPr>
        <w:pStyle w:val="Compact"/>
        <w:numPr>
          <w:ilvl w:val="0"/>
          <w:numId w:val="1001"/>
        </w:numPr>
      </w:pPr>
      <w:r>
        <w:t xml:space="preserve">application compile and dependency health green;</w:t>
      </w:r>
    </w:p>
    <w:p>
      <w:pPr>
        <w:pStyle w:val="Compact"/>
        <w:numPr>
          <w:ilvl w:val="0"/>
          <w:numId w:val="1001"/>
        </w:numPr>
      </w:pPr>
      <w:r>
        <w:t xml:space="preserve">runtime</w:t>
      </w:r>
      <w:r>
        <w:t xml:space="preserve"> </w:t>
      </w:r>
      <w:r>
        <w:rPr>
          <w:rStyle w:val="VerbatimChar"/>
        </w:rPr>
        <w:t xml:space="preserve">/health</w:t>
      </w:r>
      <w:r>
        <w:t xml:space="preserve"> </w:t>
      </w:r>
      <w:r>
        <w:t xml:space="preserve">green;</w:t>
      </w:r>
    </w:p>
    <w:p>
      <w:pPr>
        <w:pStyle w:val="Compact"/>
        <w:numPr>
          <w:ilvl w:val="0"/>
          <w:numId w:val="1001"/>
        </w:numPr>
      </w:pPr>
      <w:r>
        <w:t xml:space="preserve">authenticated decision path operational;</w:t>
      </w:r>
    </w:p>
    <w:p>
      <w:pPr>
        <w:pStyle w:val="Compact"/>
        <w:numPr>
          <w:ilvl w:val="0"/>
          <w:numId w:val="1001"/>
        </w:numPr>
      </w:pPr>
      <w:r>
        <w:t xml:space="preserve">Decision → Evidence → Audit → Risk → Case lineage coherent;</w:t>
      </w:r>
    </w:p>
    <w:p>
      <w:pPr>
        <w:pStyle w:val="Compact"/>
        <w:numPr>
          <w:ilvl w:val="0"/>
          <w:numId w:val="1001"/>
        </w:numPr>
      </w:pPr>
      <w:r>
        <w:t xml:space="preserve">tenant/RBAC enforcement verified on release surfaces;</w:t>
      </w:r>
    </w:p>
    <w:p>
      <w:pPr>
        <w:pStyle w:val="Compact"/>
        <w:numPr>
          <w:ilvl w:val="0"/>
          <w:numId w:val="1001"/>
        </w:numPr>
      </w:pPr>
      <w:r>
        <w:t xml:space="preserve">provider truthfulness verified with explicit failure semantics;</w:t>
      </w:r>
    </w:p>
    <w:p>
      <w:pPr>
        <w:pStyle w:val="Compact"/>
        <w:numPr>
          <w:ilvl w:val="0"/>
          <w:numId w:val="1001"/>
        </w:numPr>
      </w:pPr>
      <w:r>
        <w:t xml:space="preserve">operational runbook, observability, rollback and support ownership documented.</w:t>
      </w:r>
    </w:p>
    <w:p>
      <w:pPr>
        <w:pStyle w:val="Heading2"/>
      </w:pPr>
      <w:bookmarkStart w:id="23" w:name="_64308a590c8df5892354b296950dc37bb5c0a59"/>
      <w:r>
        <w:t xml:space="preserve">Explicitly Not Release Blockers</w:t>
      </w:r>
    </w:p>
    <w:p>
      <w:pPr>
        <w:pStyle w:val="FirstParagraph"/>
      </w:pPr>
      <w:r>
        <w:t xml:space="preserve">The following remain deferred and MUST NOT trigger a Core rewrite:</w:t>
      </w:r>
    </w:p>
    <w:p>
      <w:pPr>
        <w:pStyle w:val="Compact"/>
        <w:numPr>
          <w:ilvl w:val="0"/>
          <w:numId w:val="1002"/>
        </w:numPr>
      </w:pPr>
      <w:r>
        <w:t xml:space="preserve">AI Copilot</w:t>
      </w:r>
    </w:p>
    <w:p>
      <w:pPr>
        <w:pStyle w:val="Compact"/>
        <w:numPr>
          <w:ilvl w:val="0"/>
          <w:numId w:val="1002"/>
        </w:numPr>
      </w:pPr>
      <w:r>
        <w:t xml:space="preserve">Agentic AI / MCP</w:t>
      </w:r>
    </w:p>
    <w:p>
      <w:pPr>
        <w:pStyle w:val="Compact"/>
        <w:numPr>
          <w:ilvl w:val="0"/>
          <w:numId w:val="1002"/>
        </w:numPr>
      </w:pPr>
      <w:r>
        <w:t xml:space="preserve">Microservices migration</w:t>
      </w:r>
    </w:p>
    <w:p>
      <w:pPr>
        <w:pStyle w:val="Compact"/>
        <w:numPr>
          <w:ilvl w:val="0"/>
          <w:numId w:val="1002"/>
        </w:numPr>
      </w:pPr>
      <w:r>
        <w:t xml:space="preserve">Travel Rule</w:t>
      </w:r>
    </w:p>
    <w:p>
      <w:pPr>
        <w:pStyle w:val="Compact"/>
        <w:numPr>
          <w:ilvl w:val="0"/>
          <w:numId w:val="1002"/>
        </w:numPr>
      </w:pPr>
      <w:r>
        <w:t xml:space="preserve">Crypto/KYT vertical</w:t>
      </w:r>
    </w:p>
    <w:p>
      <w:pPr>
        <w:pStyle w:val="Compact"/>
        <w:numPr>
          <w:ilvl w:val="0"/>
          <w:numId w:val="1002"/>
        </w:numPr>
      </w:pPr>
      <w:r>
        <w:t xml:space="preserve">Proprietary global watchlist/data moat</w:t>
      </w:r>
    </w:p>
    <w:p>
      <w:pPr>
        <w:pStyle w:val="Compact"/>
        <w:numPr>
          <w:ilvl w:val="0"/>
          <w:numId w:val="1002"/>
        </w:numPr>
      </w:pPr>
      <w:r>
        <w:t xml:space="preserve">Parallel orchestration paths</w:t>
      </w:r>
    </w:p>
    <w:p>
      <w:pPr>
        <w:pStyle w:val="Compact"/>
        <w:numPr>
          <w:ilvl w:val="0"/>
          <w:numId w:val="1002"/>
        </w:numPr>
      </w:pPr>
      <w:r>
        <w:t xml:space="preserve">Duplicate Decision/Evidence stores</w:t>
      </w:r>
    </w:p>
    <w:p>
      <w:pPr>
        <w:pStyle w:val="Heading2"/>
      </w:pPr>
      <w:bookmarkStart w:id="24" w:name="_c1717828ffb3e1dcec6b1c9875249dd0f6247d2"/>
      <w:r>
        <w:t xml:space="preserve">SSOT Rule</w:t>
      </w:r>
    </w:p>
    <w:p>
      <w:pPr>
        <w:pStyle w:val="FirstParagraph"/>
      </w:pPr>
      <w:r>
        <w:t xml:space="preserve">The Architecture Bible owns architecture, regulatory interpretation, governance, and cross-repository contracts. The Platform owns executable implementation. No roadmap item may introduce a competing source of truth.</w:t>
      </w:r>
    </w:p>
    <w:p>
      <w:pPr>
        <w:pStyle w:val="BodyText"/>
      </w:pPr>
      <w:r>
        <w:t xml:space="preserve">Historical gate documents may contain superseded intermediate states. The latest roadmap and the latest verified terminal evidence are the current execution authority.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Executive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ROADMAP</dc:title>
  <dc:creator>HISN Platform</dc:creator>
  <cp:keywords>HISN, FCDOS, financial crime, decision operating system</cp:keywords>
  <dcterms:created xsi:type="dcterms:W3CDTF">2026-10-13T12:57:07Z</dcterms:created>
  <dcterms:modified xsi:type="dcterms:W3CDTF">2026-10-13T12:57:07Z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