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01_Executive_Summary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81a10657fe00fdbb5753ce6c83a521b67f6e9ce"/>
      <w:r>
        <w:t xml:space="preserve">INVESTMENT MEMORANDUM — EXECUTIVE SUMMARY</w:t>
      </w:r>
    </w:p>
    <w:p>
      <w:pPr>
        <w:pStyle w:val="FirstParagraph"/>
      </w:pPr>
      <w:r>
        <w:rPr>
          <w:b/>
          <w:bCs/>
        </w:rPr>
        <w:t xml:space="preserve">HISN Platform | Seed Round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 |</w:t>
      </w:r>
      <w:r>
        <w:t xml:space="preserve"> </w:t>
      </w:r>
      <w:r>
        <w:rPr>
          <w:b/>
          <w:bCs/>
        </w:rPr>
        <w:t xml:space="preserve">Currency:</w:t>
      </w:r>
      <w:r>
        <w:t xml:space="preserve"> </w:t>
      </w:r>
      <w:r>
        <w:t xml:space="preserve">SAR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91c850aba8700b196994978a6c552d3cf690f9d"/>
      <w:r>
        <w:t xml:space="preserve">1. The Opportunity</w:t>
      </w:r>
    </w:p>
    <w:p>
      <w:pPr>
        <w:pStyle w:val="FirstParagraph"/>
      </w:pPr>
      <w:r>
        <w:t xml:space="preserve">HISN is building the</w:t>
      </w:r>
      <w:r>
        <w:t xml:space="preserve"> </w:t>
      </w:r>
      <w:r>
        <w:rPr>
          <w:b/>
          <w:bCs/>
        </w:rPr>
        <w:t xml:space="preserve">Financial Crime Decision Operating System (FCDOS)</w:t>
      </w:r>
      <w:r>
        <w:t xml:space="preserve"> </w:t>
      </w:r>
      <w:r>
        <w:t xml:space="preserve">— the orchestration layer that unifies AML, Fraud, Sanctions, KYC, KYB, and Graph intelligence into a single governed decision lifecycle for regulated financial institutions.</w:t>
      </w:r>
    </w:p>
    <w:p>
      <w:pPr>
        <w:pStyle w:val="BodyText"/>
      </w:pPr>
      <w:r>
        <w:rPr>
          <w:b/>
          <w:bCs/>
        </w:rPr>
        <w:t xml:space="preserve">Category:</w:t>
      </w:r>
      <w:r>
        <w:t xml:space="preserve"> </w:t>
      </w:r>
      <w:r>
        <w:t xml:space="preserve">RegTech / Financial Crime Compliance</w:t>
      </w:r>
      <w:r>
        <w:t xml:space="preserve"> </w:t>
      </w:r>
      <w:r>
        <w:rPr>
          <w:b/>
          <w:bCs/>
        </w:rPr>
        <w:t xml:space="preserve">Geography:</w:t>
      </w:r>
      <w:r>
        <w:t xml:space="preserve"> </w:t>
      </w:r>
      <w:r>
        <w:t xml:space="preserve">KSA + GCC</w:t>
      </w:r>
      <w:r>
        <w:t xml:space="preserve"> </w:t>
      </w:r>
      <w:r>
        <w:rPr>
          <w:b/>
          <w:bCs/>
        </w:rPr>
        <w:t xml:space="preserve">Stage:</w:t>
      </w:r>
      <w:r>
        <w:t xml:space="preserve"> </w:t>
      </w:r>
      <w:r>
        <w:t xml:space="preserve">Pre-commercial</w:t>
      </w:r>
      <w:r>
        <w:t xml:space="preserve"> </w:t>
      </w:r>
      <w:r>
        <w:rPr>
          <w:b/>
          <w:bCs/>
        </w:rPr>
        <w:t xml:space="preserve">Founder:</w:t>
      </w:r>
      <w:r>
        <w:t xml:space="preserve"> </w:t>
      </w:r>
      <w:r>
        <w:t xml:space="preserve">Mohamed Abdo (20 years experience, 12 in KSA)</w:t>
      </w:r>
    </w:p>
    <w:p>
      <w:pPr>
        <w:pStyle w:val="Heading2"/>
      </w:pPr>
      <w:bookmarkStart w:id="11" w:name="_3e0e4ca37f4f308b10c941f4800633a8f51311a"/>
      <w:r>
        <w:t xml:space="preserve">2. The Problem</w:t>
      </w:r>
    </w:p>
    <w:p>
      <w:pPr>
        <w:pStyle w:val="FirstParagraph"/>
      </w:pPr>
      <w:r>
        <w:t xml:space="preserve">Regulated institutions face: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Fragmentation:</w:t>
      </w:r>
      <w:r>
        <w:t xml:space="preserve"> </w:t>
      </w:r>
      <w:r>
        <w:t xml:space="preserve">Disconnected tools for AML, fraud, KYC, sanctions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Black-box decisions:</w:t>
      </w:r>
      <w:r>
        <w:t xml:space="preserve"> </w:t>
      </w:r>
      <w:r>
        <w:t xml:space="preserve">Unexplainable alerts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Regulatory exposure:</w:t>
      </w:r>
      <w:r>
        <w:t xml:space="preserve"> </w:t>
      </w:r>
      <w:r>
        <w:t xml:space="preserve">Inconsistent audit trails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Operational burden:</w:t>
      </w:r>
      <w:r>
        <w:t xml:space="preserve"> </w:t>
      </w:r>
      <w:r>
        <w:t xml:space="preserve">80% of time collecting evidence</w:t>
      </w:r>
    </w:p>
    <w:p>
      <w:pPr>
        <w:pStyle w:val="Heading2"/>
      </w:pPr>
      <w:bookmarkStart w:id="12" w:name="_af620eb820f30d660db62da74de6b272d333272"/>
      <w:r>
        <w:t xml:space="preserve">3. The Solution</w:t>
      </w:r>
    </w:p>
    <w:p>
      <w:pPr>
        <w:pStyle w:val="FirstParagraph"/>
      </w:pPr>
      <w:r>
        <w:t xml:space="preserve">HISN FCDOS provides: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Canonical Decision Runtime</w:t>
      </w:r>
      <w:r>
        <w:t xml:space="preserve"> </w:t>
      </w:r>
      <w:r>
        <w:t xml:space="preserve">— one governed path from signal to decision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Decision DNA</w:t>
      </w:r>
      <w:r>
        <w:t xml:space="preserve"> </w:t>
      </w:r>
      <w:r>
        <w:t xml:space="preserve">— immutable decision lineage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Evidence + Audit</w:t>
      </w:r>
      <w:r>
        <w:t xml:space="preserve"> </w:t>
      </w:r>
      <w:r>
        <w:t xml:space="preserve">— audit-grade traceability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Multi-tenant RLS</w:t>
      </w:r>
      <w:r>
        <w:t xml:space="preserve"> </w:t>
      </w:r>
      <w:r>
        <w:t xml:space="preserve">— enterprise-grade isolation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6 verified engines</w:t>
      </w:r>
      <w:r>
        <w:t xml:space="preserve"> </w:t>
      </w:r>
      <w:r>
        <w:t xml:space="preserve">— AML, Fraud, Sanctions, KYC, KYB, Graph</w:t>
      </w:r>
    </w:p>
    <w:p>
      <w:pPr>
        <w:pStyle w:val="Heading2"/>
      </w:pPr>
      <w:bookmarkStart w:id="13" w:name="_6c13ea783908e07cc5082e8262090cc0f2861ac"/>
      <w:r>
        <w:t xml:space="preserve">4. Why Now</w:t>
      </w:r>
    </w:p>
    <w:p>
      <w:pPr>
        <w:pStyle w:val="Compact"/>
        <w:numPr>
          <w:ilvl w:val="0"/>
          <w:numId w:val="1001"/>
        </w:numPr>
      </w:pPr>
      <w:r>
        <w:t xml:space="preserve">SAMA FinTech ecosystem: 371 companies (Aug 2026)</w:t>
      </w:r>
    </w:p>
    <w:p>
      <w:pPr>
        <w:pStyle w:val="Compact"/>
        <w:numPr>
          <w:ilvl w:val="0"/>
          <w:numId w:val="1001"/>
        </w:numPr>
      </w:pPr>
      <w:r>
        <w:t xml:space="preserve">Cumulative FinTech investment: SAR 30B+ (H1 2026)</w:t>
      </w:r>
    </w:p>
    <w:p>
      <w:pPr>
        <w:pStyle w:val="Compact"/>
        <w:numPr>
          <w:ilvl w:val="0"/>
          <w:numId w:val="1001"/>
        </w:numPr>
      </w:pPr>
      <w:r>
        <w:t xml:space="preserve">PDPL full enforcement</w:t>
      </w:r>
    </w:p>
    <w:p>
      <w:pPr>
        <w:pStyle w:val="Compact"/>
        <w:numPr>
          <w:ilvl w:val="0"/>
          <w:numId w:val="1001"/>
        </w:numPr>
      </w:pPr>
      <w:r>
        <w:t xml:space="preserve">SAMA/CMA audit pressure</w:t>
      </w:r>
    </w:p>
    <w:p>
      <w:pPr>
        <w:pStyle w:val="Compact"/>
        <w:numPr>
          <w:ilvl w:val="0"/>
          <w:numId w:val="1001"/>
        </w:numPr>
      </w:pPr>
      <w:r>
        <w:t xml:space="preserve">AI governance requirements</w:t>
      </w:r>
    </w:p>
    <w:p>
      <w:pPr>
        <w:pStyle w:val="Heading2"/>
      </w:pPr>
      <w:bookmarkStart w:id="14" w:name="_a46d697ad5f93d10dfc44a6bcd9c47a32c88fd8"/>
      <w:r>
        <w:t xml:space="preserve">5. Traction &amp; Proof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Repository LOC</w:t>
            </w:r>
          </w:p>
        </w:tc>
        <w:tc>
          <w:tcPr/>
          <w:p>
            <w:pPr>
              <w:pStyle w:val="Compact"/>
            </w:pPr>
            <w:r>
              <w:t xml:space="preserve">66,502 Python + 23,240 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 suites</w:t>
            </w:r>
          </w:p>
        </w:tc>
        <w:tc>
          <w:tcPr/>
          <w:p>
            <w:pPr>
              <w:pStyle w:val="Compact"/>
            </w:pPr>
            <w:r>
              <w:t xml:space="preserve">280+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Migrations</w:t>
            </w:r>
          </w:p>
        </w:tc>
        <w:tc>
          <w:tcPr/>
          <w:p>
            <w:pPr>
              <w:pStyle w:val="Compact"/>
            </w:pPr>
            <w:r>
              <w:t xml:space="preserve">46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</w:t>
            </w:r>
          </w:p>
        </w:tc>
        <w:tc>
          <w:tcPr/>
          <w:p>
            <w:pPr>
              <w:pStyle w:val="Compact"/>
            </w:pPr>
            <w:r>
              <w:t xml:space="preserve">830+ files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Terminal Assurance</w:t>
            </w:r>
          </w:p>
        </w:tc>
        <w:tc>
          <w:tcPr/>
          <w:p>
            <w:pPr>
              <w:pStyle w:val="Compact"/>
            </w:pPr>
            <w:r>
              <w:t xml:space="preserve">Passing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Multi-domain validation</w:t>
            </w:r>
          </w:p>
        </w:tc>
        <w:tc>
          <w:tcPr/>
          <w:p>
            <w:pPr>
              <w:pStyle w:val="Compact"/>
            </w:pPr>
            <w:r>
              <w:t xml:space="preserve">FARES, FARIDA, FAIRUZ</w:t>
            </w:r>
          </w:p>
        </w:tc>
      </w:tr>
    </w:tbl>
    <w:p>
      <w:pPr>
        <w:pStyle w:val="Heading2"/>
      </w:pPr>
      <w:bookmarkStart w:id="15" w:name="_5d54f14a3d0f8d99034ed42aabf85ebfc96875f"/>
      <w:r>
        <w:t xml:space="preserve">6. The Ask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Round</w:t>
            </w:r>
          </w:p>
        </w:tc>
        <w:tc>
          <w:tcPr/>
          <w:p>
            <w:pPr>
              <w:pStyle w:val="Compact"/>
            </w:pPr>
            <w:r>
              <w:t xml:space="preserve">Seed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Raise</w:t>
            </w:r>
          </w:p>
        </w:tc>
        <w:tc>
          <w:tcPr/>
          <w:p>
            <w:pPr>
              <w:pStyle w:val="Compact"/>
            </w:pPr>
            <w:r>
              <w:t xml:space="preserve">SAR 7,500,000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Pre-money</w:t>
            </w:r>
          </w:p>
        </w:tc>
        <w:tc>
          <w:tcPr/>
          <w:p>
            <w:pPr>
              <w:pStyle w:val="Compact"/>
            </w:pPr>
            <w:r>
              <w:t xml:space="preserve">SAR 30,000,000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Post-money</w:t>
            </w:r>
          </w:p>
        </w:tc>
        <w:tc>
          <w:tcPr/>
          <w:p>
            <w:pPr>
              <w:pStyle w:val="Compact"/>
            </w:pPr>
            <w:r>
              <w:t xml:space="preserve">SAR 37,500,000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Investor ownership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Runway</w:t>
            </w:r>
          </w:p>
        </w:tc>
        <w:tc>
          <w:tcPr/>
          <w:p>
            <w:pPr>
              <w:pStyle w:val="Compact"/>
            </w:pPr>
            <w:r>
              <w:t xml:space="preserve">15-18 months</w:t>
            </w:r>
          </w:p>
        </w:tc>
      </w:tr>
    </w:tbl>
    <w:p>
      <w:pPr>
        <w:pStyle w:val="Heading2"/>
      </w:pPr>
      <w:bookmarkStart w:id="16" w:name="_3b8c242903304135c47fd2b218fa417ed75df07"/>
      <w:r>
        <w:t xml:space="preserve">7. Use of Proceeds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Team expansion</w:t>
            </w:r>
          </w:p>
        </w:tc>
        <w:tc>
          <w:tcPr/>
          <w:p>
            <w:pPr>
              <w:pStyle w:val="Compact"/>
            </w:pPr>
            <w:r>
              <w:t xml:space="preserve">40%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&amp; compliance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&amp; engineering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GTM &amp; pilot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Working capital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</w:tr>
    </w:tbl>
    <w:p>
      <w:pPr>
        <w:pStyle w:val="Heading2"/>
      </w:pPr>
      <w:bookmarkStart w:id="17" w:name="_valuation"/>
      <w:r>
        <w:t xml:space="preserve">8. Valuation</w:t>
      </w:r>
    </w:p>
    <w:p>
      <w:pPr>
        <w:pStyle w:val="FirstParagraph"/>
      </w:pPr>
      <w:r>
        <w:rPr>
          <w:b/>
          <w:bCs/>
        </w:rPr>
        <w:t xml:space="preserve">Anchor:</w:t>
      </w:r>
      <w:r>
        <w:t xml:space="preserve"> </w:t>
      </w:r>
      <w:r>
        <w:t xml:space="preserve">SAR 30M pre-money</w:t>
      </w:r>
      <w:r>
        <w:t xml:space="preserve"> </w:t>
      </w:r>
      <w:r>
        <w:rPr>
          <w:b/>
          <w:bCs/>
        </w:rPr>
        <w:t xml:space="preserve">Method:</w:t>
      </w:r>
      <w:r>
        <w:t xml:space="preserve"> </w:t>
      </w:r>
      <w:r>
        <w:t xml:space="preserve">Triangulated (replacement cost, IP scorecard, market comps, DCF)</w:t>
      </w:r>
      <w:r>
        <w:t xml:space="preserve"> </w:t>
      </w:r>
      <w:r>
        <w:rPr>
          <w:b/>
          <w:bCs/>
        </w:rPr>
        <w:t xml:space="preserve">Composite range:</w:t>
      </w:r>
      <w:r>
        <w:t xml:space="preserve"> </w:t>
      </w:r>
      <w:r>
        <w:t xml:space="preserve">SAR 45-100M</w:t>
      </w:r>
      <w:r>
        <w:t xml:space="preserve"> </w:t>
      </w:r>
      <w:r>
        <w:rPr>
          <w:b/>
          <w:bCs/>
        </w:rPr>
        <w:t xml:space="preserve">Anchor rationale:</w:t>
      </w:r>
      <w:r>
        <w:t xml:space="preserve"> </w:t>
      </w:r>
      <w:r>
        <w:t xml:space="preserve">Conservative entry for strategic investors</w:t>
      </w:r>
    </w:p>
    <w:p>
      <w:pPr>
        <w:pStyle w:val="Heading2"/>
      </w:pPr>
      <w:bookmarkStart w:id="18" w:name="_1e75daa0b6160262f930da89707acb76fcea6d7"/>
      <w:r>
        <w:t xml:space="preserve">9. Investment Highlights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Built asset</w:t>
      </w:r>
      <w:r>
        <w:t xml:space="preserve"> </w:t>
      </w:r>
      <w:r>
        <w:t xml:space="preserve">— not idea-stage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Technical moat</w:t>
      </w:r>
      <w:r>
        <w:t xml:space="preserve"> </w:t>
      </w:r>
      <w:r>
        <w:t xml:space="preserve">— canonical runtime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Regulatory fit</w:t>
      </w:r>
      <w:r>
        <w:t xml:space="preserve"> </w:t>
      </w:r>
      <w:r>
        <w:t xml:space="preserve">— SAMA, CMA, PDPL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Multi-domain</w:t>
      </w:r>
      <w:r>
        <w:t xml:space="preserve"> </w:t>
      </w:r>
      <w:r>
        <w:t xml:space="preserve">— bank + insurance + exchange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Conservative valuation</w:t>
      </w:r>
      <w:r>
        <w:t xml:space="preserve"> </w:t>
      </w:r>
      <w:r>
        <w:t xml:space="preserve">— 17% of DCF base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Clean governance</w:t>
      </w:r>
      <w:r>
        <w:t xml:space="preserve"> </w:t>
      </w:r>
      <w:r>
        <w:t xml:space="preserve">— institutional standards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Experienced founder</w:t>
      </w:r>
      <w:r>
        <w:t xml:space="preserve"> </w:t>
      </w:r>
      <w:r>
        <w:t xml:space="preserve">— 20 years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Clear milestones</w:t>
      </w:r>
      <w:r>
        <w:t xml:space="preserve"> </w:t>
      </w:r>
      <w:r>
        <w:t xml:space="preserve">— evidence-based</w:t>
      </w:r>
    </w:p>
    <w:p>
      <w:pPr>
        <w:pStyle w:val="Heading2"/>
      </w:pPr>
      <w:bookmarkStart w:id="19" w:name="_b1410e52e700bd15a3eacbbfb8af58ade764a59"/>
      <w:r>
        <w:t xml:space="preserve">10. Risks &amp; Mitigations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Mitigation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Pre-revenue</w:t>
            </w:r>
          </w:p>
        </w:tc>
        <w:tc>
          <w:tcPr/>
          <w:p>
            <w:pPr>
              <w:pStyle w:val="Compact"/>
            </w:pPr>
            <w:r>
              <w:t xml:space="preserve">Milestone-linked funding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customers</w:t>
            </w:r>
          </w:p>
        </w:tc>
        <w:tc>
          <w:tcPr/>
          <w:p>
            <w:pPr>
              <w:pStyle w:val="Compact"/>
            </w:pPr>
            <w:r>
              <w:t xml:space="preserve">Focus FinTech/PSP first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Long sales cycles</w:t>
            </w:r>
          </w:p>
        </w:tc>
        <w:tc>
          <w:tcPr/>
          <w:p>
            <w:pPr>
              <w:pStyle w:val="Compact"/>
            </w:pPr>
            <w:r>
              <w:t xml:space="preserve">Parallel pipeline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Competition</w:t>
            </w:r>
          </w:p>
        </w:tc>
        <w:tc>
          <w:tcPr/>
          <w:p>
            <w:pPr>
              <w:pStyle w:val="Compact"/>
            </w:pPr>
            <w:r>
              <w:t xml:space="preserve">Decision-centric differentiation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</w:t>
            </w:r>
          </w:p>
        </w:tc>
        <w:tc>
          <w:tcPr/>
          <w:p>
            <w:pPr>
              <w:pStyle w:val="Compact"/>
            </w:pPr>
            <w:r>
              <w:t xml:space="preserve">Design-for-alignment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Key-person</w:t>
            </w:r>
          </w:p>
        </w:tc>
        <w:tc>
          <w:tcPr/>
          <w:p>
            <w:pPr>
              <w:pStyle w:val="Compact"/>
            </w:pPr>
            <w:r>
              <w:t xml:space="preserve">Vesting + IP assignment</w:t>
            </w:r>
          </w:p>
        </w:tc>
      </w:tr>
    </w:tbl>
    <w:p>
      <w:pPr>
        <w:pStyle w:val="Heading2"/>
      </w:pPr>
      <w:bookmarkStart w:id="20" w:name="_timeline"/>
      <w:r>
        <w:t xml:space="preserve">11.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Month</w:t>
            </w:r>
          </w:p>
        </w:tc>
        <w:tc>
          <w:tcPr/>
          <w:p>
            <w:pPr>
              <w:pStyle w:val="Compact"/>
            </w:pPr>
            <w:r>
              <w:t xml:space="preserve">Milestone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Term sheet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Close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M2 Resilience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Bank POC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Paid pilot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Series A ready</w:t>
            </w:r>
          </w:p>
        </w:tc>
      </w:tr>
    </w:tbl>
    <w:p>
      <w:pPr>
        <w:pStyle w:val="Heading2"/>
      </w:pPr>
      <w:bookmarkStart w:id="21" w:name="_contact"/>
      <w:r>
        <w:t xml:space="preserve">12. Contact</w:t>
      </w:r>
    </w:p>
    <w:p>
      <w:pPr>
        <w:pStyle w:val="FirstParagraph"/>
      </w:pPr>
      <w:r>
        <w:rPr>
          <w:b/>
          <w:bCs/>
        </w:rPr>
        <w:t xml:space="preserve">Mohamed Abdo</w:t>
      </w:r>
      <w:r>
        <w:t xml:space="preserve"> </w:t>
      </w:r>
      <w:r>
        <w:t xml:space="preserve">— Founder &amp; CEO</w:t>
      </w:r>
      <w:r>
        <w:t xml:space="preserve"> </w:t>
      </w:r>
      <w:r>
        <w:rPr>
          <w:b/>
          <w:bCs/>
        </w:rPr>
        <w:t xml:space="preserve">HISN Platform</w:t>
      </w:r>
      <w:r>
        <w:t xml:space="preserve"> </w:t>
      </w:r>
      <w:r>
        <w:t xml:space="preserve">— Riyadh, Saudi Arabia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Prepared to Big Four institutional standards. Confidential.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Executive Summary</dc:title>
  <dc:creator>HISN Platform</dc:creator>
  <cp:keywords>HISN, FCDOS, financial crime, decision operating system</cp:keywords>
  <dcterms:created xsi:type="dcterms:W3CDTF">2026-10-14T09:35:05Z</dcterms:created>
  <dcterms:modified xsi:type="dcterms:W3CDTF">2026-10-14T09:35:05Z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