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01_Exit_Overview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be42b5d646b2b263727f700fdde07eaf6d00e1c"/>
      <w:r>
        <w:t xml:space="preserve">EXIT STRATEGY OVERVIEW</w:t>
      </w:r>
    </w:p>
    <w:p>
      <w:pPr>
        <w:pStyle w:val="FirstParagraph"/>
      </w:pPr>
      <w:r>
        <w:rPr>
          <w:b/>
          <w:bCs/>
        </w:rPr>
        <w:t xml:space="preserve">HISN FCDOS | Exit Strategy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f6610704802677fe96d2f8689c319f40ccd420c"/>
      <w:r>
        <w:t xml:space="preserve">1. Exit Options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Expected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Strategic M&amp;A (Trade Sale)</w:t>
            </w:r>
          </w:p>
        </w:tc>
        <w:tc>
          <w:tcPr/>
          <w:p>
            <w:pPr>
              <w:pStyle w:val="Compact"/>
            </w:pPr>
            <w:r>
              <w:t xml:space="preserve">5-7 years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SAR 400-800M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Sponsor Sale</w:t>
            </w:r>
          </w:p>
        </w:tc>
        <w:tc>
          <w:tcPr/>
          <w:p>
            <w:pPr>
              <w:pStyle w:val="Compact"/>
            </w:pPr>
            <w:r>
              <w:t xml:space="preserve">6-8 years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SAR 300-600M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 (Tadawul)</w:t>
            </w:r>
          </w:p>
        </w:tc>
        <w:tc>
          <w:tcPr/>
          <w:p>
            <w:pPr>
              <w:pStyle w:val="Compact"/>
            </w:pPr>
            <w:r>
              <w:t xml:space="preserve">7-10 years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SAR 1-1.5B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Secondary Sale</w:t>
            </w:r>
          </w:p>
        </w:tc>
        <w:tc>
          <w:tcPr/>
          <w:p>
            <w:pPr>
              <w:pStyle w:val="Compact"/>
            </w:pPr>
            <w:r>
              <w:t xml:space="preserve">3-5 years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SAR 100-300M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Buyout</w:t>
            </w:r>
          </w:p>
        </w:tc>
        <w:tc>
          <w:tcPr/>
          <w:p>
            <w:pPr>
              <w:pStyle w:val="Compact"/>
            </w:pPr>
            <w:r>
              <w:t xml:space="preserve">7+ years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SAR 150-300M</w:t>
            </w:r>
          </w:p>
        </w:tc>
      </w:tr>
    </w:tbl>
    <w:p>
      <w:pPr>
        <w:pStyle w:val="Heading2"/>
      </w:pPr>
      <w:bookmarkStart w:id="11" w:name="_504008089786f4e7c55001c83ce9c26d0d5a2e9"/>
      <w:r>
        <w:t xml:space="preserve">2. Preferred Path</w:t>
      </w:r>
    </w:p>
    <w:p>
      <w:pPr>
        <w:pStyle w:val="FirstParagraph"/>
      </w:pPr>
      <w:r>
        <w:rPr>
          <w:b/>
          <w:bCs/>
        </w:rPr>
        <w:t xml:space="preserve">Primary:</w:t>
      </w:r>
      <w:r>
        <w:t xml:space="preserve"> </w:t>
      </w:r>
      <w:r>
        <w:t xml:space="preserve">Strategic M&amp;A with global RegTech or financial infrastructure player.</w:t>
      </w:r>
    </w:p>
    <w:p>
      <w:pPr>
        <w:pStyle w:val="BodyText"/>
      </w:pPr>
      <w:r>
        <w:rPr>
          <w:b/>
          <w:bCs/>
        </w:rPr>
        <w:t xml:space="preserve">Rationale:</w:t>
      </w:r>
      <w:r>
        <w:t xml:space="preserve"> </w:t>
      </w:r>
      <w:r>
        <w:t xml:space="preserve">- Fastest path to liquidity</w:t>
      </w:r>
      <w:r>
        <w:t xml:space="preserve"> </w:t>
      </w:r>
      <w:r>
        <w:t xml:space="preserve">- Higher strategic premium</w:t>
      </w:r>
      <w:r>
        <w:t xml:space="preserve"> </w:t>
      </w:r>
      <w:r>
        <w:t xml:space="preserve">- Global acquirers have capital</w:t>
      </w:r>
      <w:r>
        <w:t xml:space="preserve"> </w:t>
      </w:r>
      <w:r>
        <w:t xml:space="preserve">- Regional buyers emerging</w:t>
      </w:r>
    </w:p>
    <w:p>
      <w:pPr>
        <w:pStyle w:val="BodyText"/>
      </w:pPr>
      <w:r>
        <w:rPr>
          <w:b/>
          <w:bCs/>
        </w:rPr>
        <w:t xml:space="preserve">Secondary:</w:t>
      </w:r>
      <w:r>
        <w:t xml:space="preserve"> </w:t>
      </w:r>
      <w:r>
        <w:t xml:space="preserve">IPO on Tadawul (Saudi Exchange).</w:t>
      </w:r>
    </w:p>
    <w:p>
      <w:pPr>
        <w:pStyle w:val="BodyText"/>
      </w:pPr>
      <w:r>
        <w:rPr>
          <w:b/>
          <w:bCs/>
        </w:rPr>
        <w:t xml:space="preserve">Rationale:</w:t>
      </w:r>
      <w:r>
        <w:t xml:space="preserve"> </w:t>
      </w:r>
      <w:r>
        <w:t xml:space="preserve">- Strong KSA capital markets</w:t>
      </w:r>
      <w:r>
        <w:t xml:space="preserve"> </w:t>
      </w:r>
      <w:r>
        <w:t xml:space="preserve">- Government support for local tech IPOs</w:t>
      </w:r>
      <w:r>
        <w:t xml:space="preserve"> </w:t>
      </w:r>
      <w:r>
        <w:t xml:space="preserve">- High valuation multiples</w:t>
      </w:r>
      <w:r>
        <w:t xml:space="preserve"> </w:t>
      </w:r>
      <w:r>
        <w:t xml:space="preserve">- Founder liquidity</w:t>
      </w:r>
    </w:p>
    <w:p>
      <w:pPr>
        <w:pStyle w:val="Heading2"/>
      </w:pPr>
      <w:bookmarkStart w:id="12" w:name="_8742021e7dfece83e5c721a8535f22d166c4dad"/>
      <w:r>
        <w:t xml:space="preserve">3. Exit Timeline Framework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Exit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Y1-2</w:t>
            </w:r>
          </w:p>
        </w:tc>
        <w:tc>
          <w:tcPr/>
          <w:p>
            <w:pPr>
              <w:pStyle w:val="Compact"/>
            </w:pPr>
            <w:r>
              <w:t xml:space="preserve">Product-market fit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Y3-4</w:t>
            </w:r>
          </w:p>
        </w:tc>
        <w:tc>
          <w:tcPr/>
          <w:p>
            <w:pPr>
              <w:pStyle w:val="Compact"/>
            </w:pPr>
            <w:r>
              <w:t xml:space="preserve">Revenue growth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Scale + profitability</w:t>
            </w:r>
          </w:p>
        </w:tc>
        <w:tc>
          <w:tcPr/>
          <w:p>
            <w:pPr>
              <w:pStyle w:val="Compact"/>
            </w:pPr>
            <w:r>
              <w:t xml:space="preserve">60%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Y6-7</w:t>
            </w:r>
          </w:p>
        </w:tc>
        <w:tc>
          <w:tcPr/>
          <w:p>
            <w:pPr>
              <w:pStyle w:val="Compact"/>
            </w:pPr>
            <w:r>
              <w:t xml:space="preserve">Strategic optionality</w:t>
            </w:r>
          </w:p>
        </w:tc>
        <w:tc>
          <w:tcPr/>
          <w:p>
            <w:pPr>
              <w:pStyle w:val="Compac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Y8-10</w:t>
            </w:r>
          </w:p>
        </w:tc>
        <w:tc>
          <w:tcPr/>
          <w:p>
            <w:pPr>
              <w:pStyle w:val="Compact"/>
            </w:pPr>
            <w:r>
              <w:t xml:space="preserve">Exit execution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</w:tbl>
    <w:p>
      <w:pPr>
        <w:pStyle w:val="Heading2"/>
      </w:pPr>
      <w:bookmarkStart w:id="13" w:name="_5ea3ca589cd81bc4f1b4e6cdea43f1d302d55ba"/>
      <w:r>
        <w:t xml:space="preserve">4. Value Drivers at Exit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Driver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Primary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Growth rate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Profitability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position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depth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portfolio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p>
      <w:pPr>
        <w:pStyle w:val="Heading2"/>
      </w:pPr>
      <w:bookmarkStart w:id="14" w:name="_c213988999e027449751d53fc4f43888cdc1d64"/>
      <w:r>
        <w:t xml:space="preserve">5. Investor Returns by Scenario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Y5 Company Value</w:t>
            </w:r>
          </w:p>
        </w:tc>
        <w:tc>
          <w:tcPr/>
          <w:p>
            <w:pPr>
              <w:pStyle w:val="Compact"/>
            </w:pPr>
            <w:r>
              <w:t xml:space="preserve">Investor Multiple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</w:t>
            </w:r>
          </w:p>
        </w:tc>
        <w:tc>
          <w:tcPr/>
          <w:p>
            <w:pPr>
              <w:pStyle w:val="Compact"/>
            </w:pPr>
            <w:r>
              <w:t xml:space="preserve">SAR 385M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SAR 616M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</w:t>
            </w:r>
          </w:p>
        </w:tc>
        <w:tc>
          <w:tcPr/>
          <w:p>
            <w:pPr>
              <w:pStyle w:val="Compact"/>
            </w:pPr>
            <w:r>
              <w:t xml:space="preserve">SAR 800M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 (Y8)</w:t>
            </w:r>
          </w:p>
        </w:tc>
        <w:tc>
          <w:tcPr/>
          <w:p>
            <w:pPr>
              <w:pStyle w:val="Compact"/>
            </w:pPr>
            <w:r>
              <w:t xml:space="preserve">SAR 1.5B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FirstParagraph"/>
      </w:pPr>
      <w:r>
        <w:rPr>
          <w:i/>
          <w:iCs/>
        </w:rPr>
        <w:t xml:space="preserve">Assumes seed investor at 20%, diluted to 12-15% post-Series A/B.</w:t>
      </w:r>
    </w:p>
    <w:p>
      <w:pPr>
        <w:pStyle w:val="Heading2"/>
      </w:pPr>
      <w:bookmarkStart w:id="15" w:name="_1b7ea5ec4f405732c8b0bf92a7144967a3911b0"/>
      <w:r>
        <w:t xml:space="preserve">6. Exit Decision Framework</w:t>
      </w:r>
    </w:p>
    <w:p>
      <w:pPr>
        <w:pStyle w:val="FirstParagraph"/>
      </w:pPr>
      <w:r>
        <w:rPr>
          <w:b/>
          <w:bCs/>
        </w:rPr>
        <w:t xml:space="preserve">Trigger Conditions:</w:t>
      </w:r>
      <w:r>
        <w:t xml:space="preserve"> </w:t>
      </w:r>
      <w:r>
        <w:t xml:space="preserve">1. ARR &gt; SAR 70M</w:t>
      </w:r>
      <w:r>
        <w:t xml:space="preserve"> </w:t>
      </w:r>
      <w:r>
        <w:t xml:space="preserve">2. Growth rate &gt; 50%</w:t>
      </w:r>
      <w:r>
        <w:t xml:space="preserve"> </w:t>
      </w:r>
      <w:r>
        <w:t xml:space="preserve">3. Positive EBITDA or near</w:t>
      </w:r>
      <w:r>
        <w:t xml:space="preserve"> </w:t>
      </w:r>
      <w:r>
        <w:t xml:space="preserve">4. Market window favorable</w:t>
      </w:r>
      <w:r>
        <w:t xml:space="preserve"> </w:t>
      </w:r>
      <w:r>
        <w:t xml:space="preserve">5. Strategic acquirer interest</w:t>
      </w:r>
      <w:r>
        <w:t xml:space="preserve"> </w:t>
      </w:r>
      <w:r>
        <w:t xml:space="preserve">6. Board + investor alignment</w:t>
      </w:r>
    </w:p>
    <w:p>
      <w:pPr>
        <w:pStyle w:val="Heading2"/>
      </w:pPr>
      <w:bookmarkStart w:id="16" w:name="_ca27299be89e43faa8c20312efc467dc2824719"/>
      <w:r>
        <w:t xml:space="preserve">7. Exit Preparation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Y1-3</w:t>
            </w:r>
          </w:p>
        </w:tc>
        <w:tc>
          <w:tcPr/>
          <w:p>
            <w:pPr>
              <w:pStyle w:val="Compact"/>
            </w:pPr>
            <w:r>
              <w:t xml:space="preserve">Foundation (product, revenue, team)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Financial audit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Strategic introductions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Y6</w:t>
            </w:r>
          </w:p>
        </w:tc>
        <w:tc>
          <w:tcPr/>
          <w:p>
            <w:pPr>
              <w:pStyle w:val="Compact"/>
            </w:pPr>
            <w:r>
              <w:t xml:space="preserve">Formal M&amp;A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Y7</w:t>
            </w:r>
          </w:p>
        </w:tc>
        <w:tc>
          <w:tcPr/>
          <w:p>
            <w:pPr>
              <w:pStyle w:val="Compact"/>
            </w:pPr>
            <w:r>
              <w:t xml:space="preserve">Close transaction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Exit timing and terms subject to market conditions and execution.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Exit Overview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