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01_Full_Term_Sheet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44a6dbdc92a5583aa71f6486cff3d8e2f3b4b86"/>
      <w:r>
        <w:t xml:space="preserve">TERM SHEET — SEED ROUND</w:t>
      </w:r>
    </w:p>
    <w:p>
      <w:pPr>
        <w:pStyle w:val="FirstParagraph"/>
      </w:pPr>
      <w:r>
        <w:rPr>
          <w:b/>
          <w:bCs/>
        </w:rPr>
        <w:t xml:space="preserve">Company:</w:t>
      </w:r>
      <w:r>
        <w:t xml:space="preserve"> </w:t>
      </w:r>
      <w:r>
        <w:t xml:space="preserve">HISN Platform (HISN FCDOS)</w:t>
      </w:r>
      <w:r>
        <w:t xml:space="preserve"> </w:t>
      </w:r>
      <w:r>
        <w:rPr>
          <w:b/>
          <w:bCs/>
        </w:rPr>
        <w:t xml:space="preserve">Investor:</w:t>
      </w:r>
      <w:r>
        <w:t xml:space="preserve"> </w:t>
      </w:r>
      <w:r>
        <w:t xml:space="preserve">[Lead Investor]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  <w:r>
        <w:t xml:space="preserve"> </w:t>
      </w:r>
      <w:r>
        <w:rPr>
          <w:b/>
          <w:bCs/>
        </w:rPr>
        <w:t xml:space="preserve">Round:</w:t>
      </w:r>
      <w:r>
        <w:t xml:space="preserve"> </w:t>
      </w:r>
      <w:r>
        <w:t xml:space="preserve">Seed</w:t>
      </w:r>
      <w:r>
        <w:t xml:space="preserve"> </w:t>
      </w:r>
      <w:r>
        <w:rPr>
          <w:b/>
          <w:bCs/>
        </w:rPr>
        <w:t xml:space="preserve">Currency:</w:t>
      </w:r>
      <w:r>
        <w:t xml:space="preserve"> </w:t>
      </w:r>
      <w:r>
        <w:t xml:space="preserve">SAR (unless noted)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1673fb8dae0b405733298a603b9e022f50ff2eb"/>
      <w:r>
        <w:t xml:space="preserve">1. Transaction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 Valuation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Investment Amount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 Valuation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Ownership</w:t>
            </w:r>
          </w:p>
        </w:tc>
        <w:tc>
          <w:tcPr/>
          <w:p>
            <w:pPr>
              <w:pStyle w:val="Compact"/>
            </w:pPr>
            <w:r>
              <w:t xml:space="preserve">20.00%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Ownership</w:t>
            </w:r>
          </w:p>
        </w:tc>
        <w:tc>
          <w:tcPr/>
          <w:p>
            <w:pPr>
              <w:pStyle w:val="Compact"/>
            </w:pPr>
            <w:r>
              <w:t xml:space="preserve">80.00% (fully diluted, pre-ESOP)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Type</w:t>
            </w:r>
          </w:p>
        </w:tc>
        <w:tc>
          <w:tcPr/>
          <w:p>
            <w:pPr>
              <w:pStyle w:val="Compact"/>
            </w:pPr>
            <w:r>
              <w:t xml:space="preserve">Series Seed Preferred Shares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Round Type</w:t>
            </w:r>
          </w:p>
        </w:tc>
        <w:tc>
          <w:tcPr/>
          <w:p>
            <w:pPr>
              <w:pStyle w:val="Compact"/>
            </w:pPr>
            <w:r>
              <w:t xml:space="preserve">Primary (new capital)</w:t>
            </w:r>
          </w:p>
        </w:tc>
      </w:tr>
    </w:tbl>
    <w:p>
      <w:pPr>
        <w:pStyle w:val="Heading2"/>
      </w:pPr>
      <w:bookmarkStart w:id="11" w:name="_securities"/>
      <w:r>
        <w:t xml:space="preserve">2. Securities</w:t>
      </w:r>
    </w:p>
    <w:p>
      <w:pPr>
        <w:pStyle w:val="FirstParagraph"/>
      </w:pPr>
      <w:r>
        <w:rPr>
          <w:b/>
          <w:bCs/>
        </w:rPr>
        <w:t xml:space="preserve">Type:</w:t>
      </w:r>
      <w:r>
        <w:t xml:space="preserve"> </w:t>
      </w:r>
      <w:r>
        <w:t xml:space="preserve">Series Seed Preferred Shares</w:t>
      </w:r>
    </w:p>
    <w:p>
      <w:pPr>
        <w:pStyle w:val="BodyText"/>
      </w:pPr>
      <w:r>
        <w:rPr>
          <w:b/>
          <w:bCs/>
        </w:rPr>
        <w:t xml:space="preserve">Rights, Preferences, Privileges:</w:t>
      </w:r>
      <w:r>
        <w:t xml:space="preserve"> </w:t>
      </w:r>
      <w:r>
        <w:t xml:space="preserve">- Liquidation preference (1x non-participating)</w:t>
      </w:r>
      <w:r>
        <w:t xml:space="preserve"> </w:t>
      </w:r>
      <w:r>
        <w:t xml:space="preserve">- Conversion rights (1:1, standard anti-dilution)</w:t>
      </w:r>
      <w:r>
        <w:t xml:space="preserve"> </w:t>
      </w:r>
      <w:r>
        <w:t xml:space="preserve">- Voting rights (as-converted basis)</w:t>
      </w:r>
      <w:r>
        <w:t xml:space="preserve"> </w:t>
      </w:r>
      <w:r>
        <w:t xml:space="preserve">- Protective provisions (see §6)</w:t>
      </w:r>
      <w:r>
        <w:t xml:space="preserve"> </w:t>
      </w:r>
      <w:r>
        <w:t xml:space="preserve">- Information rights (see §8)</w:t>
      </w:r>
    </w:p>
    <w:p>
      <w:pPr>
        <w:pStyle w:val="Heading2"/>
      </w:pPr>
      <w:bookmarkStart w:id="12" w:name="_efe19d7beb48243737ad4649a4658e527e4c184"/>
      <w:r>
        <w:t xml:space="preserve">3. Valuation &amp; Price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Price per Share</w:t>
            </w:r>
          </w:p>
        </w:tc>
        <w:tc>
          <w:tcPr/>
          <w:p>
            <w:pPr>
              <w:pStyle w:val="Compact"/>
            </w:pPr>
            <w:r>
              <w:t xml:space="preserve">SAR [calculated]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Fully Diluted Shares</w:t>
            </w:r>
          </w:p>
        </w:tc>
        <w:tc>
          <w:tcPr/>
          <w:p>
            <w:pPr>
              <w:pStyle w:val="Compact"/>
            </w:pPr>
            <w:r>
              <w:t xml:space="preserve">[to be confirmed]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ESOP Pool</w:t>
            </w:r>
          </w:p>
        </w:tc>
        <w:tc>
          <w:tcPr/>
          <w:p>
            <w:pPr>
              <w:pStyle w:val="Compact"/>
            </w:pPr>
            <w:r>
              <w:t xml:space="preserve">Negotiated (see §7)</w:t>
            </w:r>
          </w:p>
        </w:tc>
      </w:tr>
    </w:tbl>
    <w:p>
      <w:pPr>
        <w:pStyle w:val="Heading2"/>
      </w:pPr>
      <w:bookmarkStart w:id="13" w:name="_b3343d2f73a4675ece5366f2315cb2fd0a10991"/>
      <w:r>
        <w:t xml:space="preserve">4. Liquidation Preference</w:t>
      </w:r>
    </w:p>
    <w:p>
      <w:pPr>
        <w:pStyle w:val="FirstParagraph"/>
      </w:pPr>
      <w:r>
        <w:rPr>
          <w:b/>
          <w:bCs/>
        </w:rPr>
        <w:t xml:space="preserve">Standard:</w:t>
      </w:r>
      <w:r>
        <w:t xml:space="preserve"> </w:t>
      </w:r>
      <w:r>
        <w:t xml:space="preserve">1x non-participating</w:t>
      </w:r>
    </w:p>
    <w:p>
      <w:pPr>
        <w:pStyle w:val="BodyText"/>
      </w:pPr>
      <w:r>
        <w:rPr>
          <w:b/>
          <w:bCs/>
        </w:rPr>
        <w:t xml:space="preserve">Waterfall:</w:t>
      </w:r>
      <w:r>
        <w:t xml:space="preserve"> </w:t>
      </w:r>
      <w:r>
        <w:t xml:space="preserve">1. First: Series Seed Preferred receives 1x investment (SAR 7.5M)</w:t>
      </w:r>
      <w:r>
        <w:t xml:space="preserve"> </w:t>
      </w:r>
      <w:r>
        <w:t xml:space="preserve">2. Then: Remaining proceeds split pro-rata among all shareholders (as-converted)</w:t>
      </w:r>
    </w:p>
    <w:p>
      <w:pPr>
        <w:pStyle w:val="BodyText"/>
      </w:pPr>
      <w:r>
        <w:rPr>
          <w:b/>
          <w:bCs/>
        </w:rPr>
        <w:t xml:space="preserve">Alternatives (negotiation):</w:t>
      </w:r>
      <w:r>
        <w:t xml:space="preserve"> </w:t>
      </w:r>
      <w:r>
        <w:t xml:space="preserve">- 1x participating (investor-favorable) — reject unless strategic</w:t>
      </w:r>
      <w:r>
        <w:t xml:space="preserve"> </w:t>
      </w:r>
      <w:r>
        <w:t xml:space="preserve">- 1x with 2x cap (hybrid) — acceptable if paired with favorable terms</w:t>
      </w:r>
    </w:p>
    <w:p>
      <w:pPr>
        <w:pStyle w:val="Heading2"/>
      </w:pPr>
      <w:bookmarkStart w:id="14" w:name="_9a53c3bc53c3ceb78149ff47fb02062be4d9c22"/>
      <w:r>
        <w:t xml:space="preserve">5. Anti-Dilution</w:t>
      </w:r>
    </w:p>
    <w:p>
      <w:pPr>
        <w:pStyle w:val="FirstParagraph"/>
      </w:pPr>
      <w:r>
        <w:rPr>
          <w:b/>
          <w:bCs/>
        </w:rPr>
        <w:t xml:space="preserve">Standard:</w:t>
      </w:r>
      <w:r>
        <w:t xml:space="preserve"> </w:t>
      </w:r>
      <w:r>
        <w:t xml:space="preserve">Broad-Based Weighted Average</w:t>
      </w:r>
    </w:p>
    <w:p>
      <w:pPr>
        <w:pStyle w:val="BodyText"/>
      </w:pPr>
      <w:r>
        <w:rPr>
          <w:b/>
          <w:bCs/>
        </w:rPr>
        <w:t xml:space="preserve">Formula:</w:t>
      </w:r>
      <w:r>
        <w:t xml:space="preserve"> </w:t>
      </w:r>
      <w:r>
        <w:t xml:space="preserve">CP2 = CP1 × (A + B) / (A + C)</w:t>
      </w:r>
    </w:p>
    <w:p>
      <w:pPr>
        <w:pStyle w:val="BodyText"/>
      </w:pPr>
      <w:r>
        <w:t xml:space="preserve">Where:</w:t>
      </w:r>
      <w:r>
        <w:t xml:space="preserve"> </w:t>
      </w:r>
      <w:r>
        <w:t xml:space="preserve">- A = shares outstanding before new issuance</w:t>
      </w:r>
      <w:r>
        <w:t xml:space="preserve"> </w:t>
      </w:r>
      <w:r>
        <w:t xml:space="preserve">- B = shares issued if new round at CP1</w:t>
      </w:r>
      <w:r>
        <w:t xml:space="preserve"> </w:t>
      </w:r>
      <w:r>
        <w:t xml:space="preserve">- C = shares actually issued in new round</w:t>
      </w:r>
    </w:p>
    <w:p>
      <w:pPr>
        <w:pStyle w:val="BodyText"/>
      </w:pPr>
      <w:r>
        <w:rPr>
          <w:b/>
          <w:bCs/>
        </w:rPr>
        <w:t xml:space="preserve">Alternatives:</w:t>
      </w:r>
      <w:r>
        <w:t xml:space="preserve"> </w:t>
      </w:r>
      <w:r>
        <w:t xml:space="preserve">- Narrow-based weighted average (investor-favorable) — reject</w:t>
      </w:r>
      <w:r>
        <w:t xml:space="preserve"> </w:t>
      </w:r>
      <w:r>
        <w:t xml:space="preserve">- Full ratchet (aggressive) — reject</w:t>
      </w:r>
    </w:p>
    <w:p>
      <w:pPr>
        <w:pStyle w:val="Heading2"/>
      </w:pPr>
      <w:bookmarkStart w:id="15" w:name="_95327041612ae3e36af4de62cd540819e0351cc"/>
      <w:r>
        <w:t xml:space="preserve">6. Protective Provisions</w:t>
      </w:r>
    </w:p>
    <w:p>
      <w:pPr>
        <w:pStyle w:val="FirstParagraph"/>
      </w:pPr>
      <w:r>
        <w:rPr>
          <w:b/>
          <w:bCs/>
        </w:rPr>
        <w:t xml:space="preserve">Investor Consent Required For:</w:t>
      </w:r>
    </w:p>
    <w:p>
      <w:pPr>
        <w:pStyle w:val="Compact"/>
        <w:numPr>
          <w:ilvl w:val="0"/>
          <w:numId w:val="1001"/>
        </w:numPr>
      </w:pPr>
      <w:r>
        <w:t xml:space="preserve">Amendments to Articles or SHA</w:t>
      </w:r>
    </w:p>
    <w:p>
      <w:pPr>
        <w:pStyle w:val="Compact"/>
        <w:numPr>
          <w:ilvl w:val="0"/>
          <w:numId w:val="1001"/>
        </w:numPr>
      </w:pPr>
      <w:r>
        <w:t xml:space="preserve">New share issuance (except ESOP per plan)</w:t>
      </w:r>
    </w:p>
    <w:p>
      <w:pPr>
        <w:pStyle w:val="Compact"/>
        <w:numPr>
          <w:ilvl w:val="0"/>
          <w:numId w:val="1001"/>
        </w:numPr>
      </w:pPr>
      <w:r>
        <w:t xml:space="preserve">M&amp;A, liquidation, dissolution, IPO</w:t>
      </w:r>
    </w:p>
    <w:p>
      <w:pPr>
        <w:pStyle w:val="Compact"/>
        <w:numPr>
          <w:ilvl w:val="0"/>
          <w:numId w:val="1001"/>
        </w:numPr>
      </w:pPr>
      <w:r>
        <w:t xml:space="preserve">Change in business nature</w:t>
      </w:r>
    </w:p>
    <w:p>
      <w:pPr>
        <w:pStyle w:val="Compact"/>
        <w:numPr>
          <w:ilvl w:val="0"/>
          <w:numId w:val="1001"/>
        </w:numPr>
      </w:pPr>
      <w:r>
        <w:t xml:space="preserve">Debt above SAR 500,000</w:t>
      </w:r>
    </w:p>
    <w:p>
      <w:pPr>
        <w:pStyle w:val="Compact"/>
        <w:numPr>
          <w:ilvl w:val="0"/>
          <w:numId w:val="1001"/>
        </w:numPr>
      </w:pPr>
      <w:r>
        <w:t xml:space="preserve">Related-party transactions</w:t>
      </w:r>
    </w:p>
    <w:p>
      <w:pPr>
        <w:pStyle w:val="Compact"/>
        <w:numPr>
          <w:ilvl w:val="0"/>
          <w:numId w:val="1001"/>
        </w:numPr>
      </w:pPr>
      <w:r>
        <w:t xml:space="preserve">CEO/CFO/CTO appointment or removal</w:t>
      </w:r>
    </w:p>
    <w:p>
      <w:pPr>
        <w:pStyle w:val="Compact"/>
        <w:numPr>
          <w:ilvl w:val="0"/>
          <w:numId w:val="1001"/>
        </w:numPr>
      </w:pPr>
      <w:r>
        <w:t xml:space="preserve">Dividend declaration</w:t>
      </w:r>
    </w:p>
    <w:p>
      <w:pPr>
        <w:pStyle w:val="Compact"/>
        <w:numPr>
          <w:ilvl w:val="0"/>
          <w:numId w:val="1001"/>
        </w:numPr>
      </w:pPr>
      <w:r>
        <w:t xml:space="preserve">Sale of material IP or assets</w:t>
      </w:r>
    </w:p>
    <w:p>
      <w:pPr>
        <w:pStyle w:val="Compact"/>
        <w:numPr>
          <w:ilvl w:val="0"/>
          <w:numId w:val="1001"/>
        </w:numPr>
      </w:pPr>
      <w:r>
        <w:t xml:space="preserve">Increase in Board size</w:t>
      </w:r>
    </w:p>
    <w:p>
      <w:pPr>
        <w:pStyle w:val="Heading2"/>
      </w:pPr>
      <w:bookmarkStart w:id="16" w:name="_f1a43a9987fe20e660b8a887f6f4229a8ff2eb0"/>
      <w:r>
        <w:t xml:space="preserve">7. ESOP Pool</w:t>
      </w:r>
    </w:p>
    <w:p>
      <w:pPr>
        <w:pStyle w:val="FirstParagraph"/>
      </w:pPr>
      <w:r>
        <w:rPr>
          <w:b/>
          <w:bCs/>
        </w:rPr>
        <w:t xml:space="preserve">Proposed:</w:t>
      </w:r>
      <w:r>
        <w:t xml:space="preserve"> </w:t>
      </w:r>
      <w:r>
        <w:t xml:space="preserve">10% post-money, created pre-money</w:t>
      </w:r>
    </w:p>
    <w:p>
      <w:pPr>
        <w:pStyle w:val="BodyText"/>
      </w:pPr>
      <w:r>
        <w:rPr>
          <w:b/>
          <w:bCs/>
        </w:rPr>
        <w:t xml:space="preserve">Negotiation:</w:t>
      </w:r>
      <w:r>
        <w:t xml:space="preserve"> </w:t>
      </w:r>
      <w:r>
        <w:t xml:space="preserve">- Investor preference: pre-money (founder dilution)</w:t>
      </w:r>
      <w:r>
        <w:t xml:space="preserve"> </w:t>
      </w:r>
      <w:r>
        <w:t xml:space="preserve">- Founder preference: post-money (investor dilution)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Market standard (Seed):</w:t>
      </w:r>
      <w:r>
        <w:t xml:space="preserve"> </w:t>
      </w:r>
      <w:r>
        <w:t xml:space="preserve">Pre-money</w:t>
      </w:r>
    </w:p>
    <w:p>
      <w:pPr>
        <w:pStyle w:val="BodyText"/>
      </w:pPr>
      <w:r>
        <w:rPr>
          <w:b/>
          <w:bCs/>
        </w:rPr>
        <w:t xml:space="preserve">Final:</w:t>
      </w:r>
      <w:r>
        <w:t xml:space="preserve"> </w:t>
      </w:r>
      <w:r>
        <w:t xml:space="preserve">[TBD]</w:t>
      </w:r>
    </w:p>
    <w:p>
      <w:pPr>
        <w:pStyle w:val="Heading2"/>
      </w:pPr>
      <w:bookmarkStart w:id="17" w:name="_1e586100864f30990c66942bff666b428bd4718"/>
      <w:r>
        <w:t xml:space="preserve">8. Information Rights</w:t>
      </w:r>
    </w:p>
    <w:p>
      <w:pPr>
        <w:pStyle w:val="FirstParagraph"/>
      </w:pPr>
      <w:r>
        <w:rPr>
          <w:b/>
          <w:bCs/>
        </w:rPr>
        <w:t xml:space="preserve">Investor receives: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 management report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Quarterly financials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Annual audited (if applicable)</w:t>
            </w:r>
          </w:p>
        </w:tc>
        <w:tc>
          <w:tcPr/>
          <w:p>
            <w:pPr>
              <w:pStyle w:val="Compact"/>
            </w:pPr>
            <w:r>
              <w:t xml:space="preserve">Annually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 table updates</w:t>
            </w:r>
          </w:p>
        </w:tc>
        <w:tc>
          <w:tcPr/>
          <w:p>
            <w:pPr>
              <w:pStyle w:val="Compact"/>
            </w:pPr>
            <w:r>
              <w:t xml:space="preserve">Upon 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materials</w:t>
            </w:r>
          </w:p>
        </w:tc>
        <w:tc>
          <w:tcPr/>
          <w:p>
            <w:pPr>
              <w:pStyle w:val="Compact"/>
            </w:pPr>
            <w:r>
              <w:t xml:space="preserve">Per board meeting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to management</w:t>
            </w:r>
          </w:p>
        </w:tc>
        <w:tc>
          <w:tcPr/>
          <w:p>
            <w:pPr>
              <w:pStyle w:val="Compact"/>
            </w:pPr>
            <w:r>
              <w:t xml:space="preserve">Reasonable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Inspection Rights:</w:t>
      </w:r>
      <w:r>
        <w:t xml:space="preserve"> </w:t>
      </w:r>
      <w:r>
        <w:t xml:space="preserve">Upon reasonable notice.</w:t>
      </w:r>
    </w:p>
    <w:p>
      <w:pPr>
        <w:pStyle w:val="Heading2"/>
      </w:pPr>
      <w:bookmarkStart w:id="18" w:name="_61d7de40d6cf5ddea8efe137c366bbd22201966"/>
      <w:r>
        <w:t xml:space="preserve">9. Board Composition</w:t>
      </w:r>
    </w:p>
    <w:p>
      <w:pPr>
        <w:pStyle w:val="FirstParagraph"/>
      </w:pPr>
      <w:r>
        <w:rPr>
          <w:b/>
          <w:bCs/>
        </w:rPr>
        <w:t xml:space="preserve">Post-Seed:</w:t>
      </w:r>
      <w:r>
        <w:t xml:space="preserve"> </w:t>
      </w:r>
      <w:r>
        <w:t xml:space="preserve">3 directors</w:t>
      </w:r>
      <w:r>
        <w:t xml:space="preserve"> </w:t>
      </w:r>
      <w:r>
        <w:t xml:space="preserve">- 2 Founder directors</w:t>
      </w:r>
      <w:r>
        <w:t xml:space="preserve"> </w:t>
      </w:r>
      <w:r>
        <w:t xml:space="preserve">- 1 Investor director</w:t>
      </w:r>
      <w:r>
        <w:t xml:space="preserve"> </w:t>
      </w:r>
      <w:r>
        <w:t xml:space="preserve">- Observer: [optional]</w:t>
      </w:r>
    </w:p>
    <w:p>
      <w:pPr>
        <w:pStyle w:val="BodyText"/>
      </w:pPr>
      <w:r>
        <w:rPr>
          <w:b/>
          <w:bCs/>
        </w:rPr>
        <w:t xml:space="preserve">Committees:</w:t>
      </w:r>
      <w:r>
        <w:t xml:space="preserve"> </w:t>
      </w:r>
      <w:r>
        <w:t xml:space="preserve">None at Seed; formed at Series A.</w:t>
      </w:r>
    </w:p>
    <w:p>
      <w:pPr>
        <w:pStyle w:val="BodyText"/>
      </w:pPr>
      <w:r>
        <w:rPr>
          <w:b/>
          <w:bCs/>
        </w:rPr>
        <w:t xml:space="preserve">Meeting Cadence:</w:t>
      </w:r>
      <w:r>
        <w:t xml:space="preserve"> </w:t>
      </w:r>
      <w:r>
        <w:t xml:space="preserve">Quarterly (minimum).</w:t>
      </w:r>
    </w:p>
    <w:p>
      <w:pPr>
        <w:pStyle w:val="Heading2"/>
      </w:pPr>
      <w:bookmarkStart w:id="19" w:name="_596adaa9a034847fc5da416d8fdae98cfb77735"/>
      <w:r>
        <w:t xml:space="preserve">10. Pro-Rata Rights</w:t>
      </w:r>
    </w:p>
    <w:p>
      <w:pPr>
        <w:pStyle w:val="FirstParagraph"/>
      </w:pPr>
      <w:r>
        <w:rPr>
          <w:b/>
          <w:bCs/>
        </w:rPr>
        <w:t xml:space="preserve">Investor has right to:</w:t>
      </w:r>
      <w:r>
        <w:t xml:space="preserve"> </w:t>
      </w:r>
      <w:r>
        <w:t xml:space="preserve">- Participate in future rounds</w:t>
      </w:r>
      <w:r>
        <w:t xml:space="preserve"> </w:t>
      </w:r>
      <w:r>
        <w:t xml:space="preserve">- Maintain ownership percentage</w:t>
      </w:r>
      <w:r>
        <w:t xml:space="preserve"> </w:t>
      </w:r>
      <w:r>
        <w:t xml:space="preserve">- Major investor threshold: SAR 1M+</w:t>
      </w:r>
    </w:p>
    <w:p>
      <w:pPr>
        <w:pStyle w:val="Heading2"/>
      </w:pPr>
      <w:bookmarkStart w:id="20" w:name="_11f20dd3d8b045446ccc306b16d7c94ebed3004"/>
      <w:r>
        <w:t xml:space="preserve">11. Right of First Refusal (ROFR)</w:t>
      </w:r>
    </w:p>
    <w:p>
      <w:pPr>
        <w:pStyle w:val="FirstParagraph"/>
      </w:pPr>
      <w:r>
        <w:rPr>
          <w:b/>
          <w:bCs/>
        </w:rPr>
        <w:t xml:space="preserve">Applies to:</w:t>
      </w:r>
      <w:r>
        <w:t xml:space="preserve"> </w:t>
      </w:r>
      <w:r>
        <w:t xml:space="preserve">- Founder share transfers</w:t>
      </w:r>
      <w:r>
        <w:t xml:space="preserve"> </w:t>
      </w:r>
      <w:r>
        <w:t xml:space="preserve">- Any transfer of &gt; 5%</w:t>
      </w:r>
    </w:p>
    <w:p>
      <w:pPr>
        <w:pStyle w:val="BodyText"/>
      </w:pPr>
      <w:r>
        <w:rPr>
          <w:b/>
          <w:bCs/>
        </w:rPr>
        <w:t xml:space="preserve">Procedure:</w:t>
      </w:r>
      <w:r>
        <w:t xml:space="preserve"> </w:t>
      </w:r>
      <w:r>
        <w:t xml:space="preserve">1. Selling shareholder notifies Company</w:t>
      </w:r>
      <w:r>
        <w:t xml:space="preserve"> </w:t>
      </w:r>
      <w:r>
        <w:t xml:space="preserve">2. Company has 30 days ROFR</w:t>
      </w:r>
      <w:r>
        <w:t xml:space="preserve"> </w:t>
      </w:r>
      <w:r>
        <w:t xml:space="preserve">3. Then Investors have 30 days</w:t>
      </w:r>
      <w:r>
        <w:t xml:space="preserve"> </w:t>
      </w:r>
      <w:r>
        <w:t xml:space="preserve">4. Then permitted transfer</w:t>
      </w:r>
    </w:p>
    <w:p>
      <w:pPr>
        <w:pStyle w:val="Heading2"/>
      </w:pPr>
      <w:bookmarkStart w:id="21" w:name="_e7827d30c275f08f96cc934bf0807c8e42031dd"/>
      <w:r>
        <w:t xml:space="preserve">12. Co-Sale (Tag-Along)</w:t>
      </w:r>
    </w:p>
    <w:p>
      <w:pPr>
        <w:pStyle w:val="FirstParagraph"/>
      </w:pPr>
      <w:r>
        <w:t xml:space="preserve">If Founder sells, Investor may participate pro-rata on same terms.</w:t>
      </w:r>
    </w:p>
    <w:p>
      <w:pPr>
        <w:pStyle w:val="Heading2"/>
      </w:pPr>
      <w:bookmarkStart w:id="22" w:name="_45d0addf446cf3188707419c239ffc035c8049e"/>
      <w:r>
        <w:t xml:space="preserve">13. Drag-Along</w:t>
      </w:r>
    </w:p>
    <w:p>
      <w:pPr>
        <w:pStyle w:val="FirstParagraph"/>
      </w:pPr>
      <w:r>
        <w:rPr>
          <w:b/>
          <w:bCs/>
        </w:rPr>
        <w:t xml:space="preserve">Trigger:</w:t>
      </w:r>
      <w:r>
        <w:t xml:space="preserve"> </w:t>
      </w:r>
      <w:r>
        <w:t xml:space="preserve">Board + majority of Preferred + majority of Common approve sale.</w:t>
      </w:r>
    </w:p>
    <w:p>
      <w:pPr>
        <w:pStyle w:val="BodyText"/>
      </w:pPr>
      <w:r>
        <w:rPr>
          <w:b/>
          <w:bCs/>
        </w:rPr>
        <w:t xml:space="preserve">Conditions:</w:t>
      </w:r>
      <w:r>
        <w:t xml:space="preserve"> </w:t>
      </w:r>
      <w:r>
        <w:t xml:space="preserve">- Arms-length third-party</w:t>
      </w:r>
      <w:r>
        <w:t xml:space="preserve"> </w:t>
      </w:r>
      <w:r>
        <w:t xml:space="preserve">- Same price/terms to all shareholders</w:t>
      </w:r>
      <w:r>
        <w:t xml:space="preserve"> </w:t>
      </w:r>
      <w:r>
        <w:t xml:space="preserve">- Minimum proceeds threshold</w:t>
      </w:r>
    </w:p>
    <w:p>
      <w:pPr>
        <w:pStyle w:val="Heading2"/>
      </w:pPr>
      <w:bookmarkStart w:id="23" w:name="_902d62c8488aa9a74fede1ca063561d8e989711"/>
      <w:r>
        <w:t xml:space="preserve">14. Founder Vesting</w:t>
      </w:r>
    </w:p>
    <w:p>
      <w:pPr>
        <w:pStyle w:val="FirstParagraph"/>
      </w:pPr>
      <w:r>
        <w:rPr>
          <w:b/>
          <w:bCs/>
        </w:rPr>
        <w:t xml:space="preserve">Standard:</w:t>
      </w:r>
      <w:r>
        <w:t xml:space="preserve"> </w:t>
      </w:r>
      <w:r>
        <w:t xml:space="preserve">4-year vesting, 1-year cliff</w:t>
      </w:r>
    </w:p>
    <w:p>
      <w:pPr>
        <w:pStyle w:val="BodyText"/>
      </w:pPr>
      <w:r>
        <w:rPr>
          <w:b/>
          <w:bCs/>
        </w:rPr>
        <w:t xml:space="preserve">Acceleration:</w:t>
      </w:r>
      <w:r>
        <w:t xml:space="preserve"> </w:t>
      </w:r>
      <w:r>
        <w:t xml:space="preserve">- Single trigger: None at Seed</w:t>
      </w:r>
      <w:r>
        <w:t xml:space="preserve"> </w:t>
      </w:r>
      <w:r>
        <w:t xml:space="preserve">- Double trigger: 12 months on change of control + termination</w:t>
      </w:r>
    </w:p>
    <w:p>
      <w:pPr>
        <w:pStyle w:val="BodyText"/>
      </w:pPr>
      <w:r>
        <w:rPr>
          <w:b/>
          <w:bCs/>
        </w:rPr>
        <w:t xml:space="preserve">Existing Shares:</w:t>
      </w:r>
      <w:r>
        <w:t xml:space="preserve"> </w:t>
      </w:r>
      <w:r>
        <w:t xml:space="preserve">Subject to vesting? Negotiate.</w:t>
      </w:r>
    </w:p>
    <w:p>
      <w:pPr>
        <w:pStyle w:val="Heading2"/>
      </w:pPr>
      <w:bookmarkStart w:id="24" w:name="_30b96aa2d80f00929778bbed1a459bb17a99ff8"/>
      <w:r>
        <w:t xml:space="preserve">15. Non-Compete &amp; Non-Solicit</w:t>
      </w:r>
    </w:p>
    <w:p>
      <w:pPr>
        <w:pStyle w:val="FirstParagraph"/>
      </w:pPr>
      <w:r>
        <w:rPr>
          <w:b/>
          <w:bCs/>
        </w:rPr>
        <w:t xml:space="preserve">Founders:</w:t>
      </w:r>
      <w:r>
        <w:t xml:space="preserve"> </w:t>
      </w:r>
      <w:r>
        <w:t xml:space="preserve">24 months post-employment</w:t>
      </w:r>
      <w:r>
        <w:t xml:space="preserve"> </w:t>
      </w:r>
      <w:r>
        <w:rPr>
          <w:b/>
          <w:bCs/>
        </w:rPr>
        <w:t xml:space="preserve">Key Employees:</w:t>
      </w:r>
      <w:r>
        <w:t xml:space="preserve"> </w:t>
      </w:r>
      <w:r>
        <w:t xml:space="preserve">12 months</w:t>
      </w:r>
      <w:r>
        <w:t xml:space="preserve"> </w:t>
      </w:r>
      <w:r>
        <w:rPr>
          <w:b/>
          <w:bCs/>
        </w:rPr>
        <w:t xml:space="preserve">Territory:</w:t>
      </w:r>
      <w:r>
        <w:t xml:space="preserve"> </w:t>
      </w:r>
      <w:r>
        <w:t xml:space="preserve">KSA + GCC</w:t>
      </w:r>
    </w:p>
    <w:p>
      <w:pPr>
        <w:pStyle w:val="Heading2"/>
      </w:pPr>
      <w:bookmarkStart w:id="25" w:name="_67ba478797e41eec05cde0b3187995ffae2d7c7"/>
      <w:r>
        <w:t xml:space="preserve">16. Confidentiality &amp; IP</w:t>
      </w:r>
    </w:p>
    <w:p>
      <w:pPr>
        <w:pStyle w:val="Compact"/>
        <w:numPr>
          <w:ilvl w:val="0"/>
          <w:numId w:val="1002"/>
        </w:numPr>
      </w:pPr>
      <w:r>
        <w:t xml:space="preserve">All Founders sign IP Assignment</w:t>
      </w:r>
    </w:p>
    <w:p>
      <w:pPr>
        <w:pStyle w:val="Compact"/>
        <w:numPr>
          <w:ilvl w:val="0"/>
          <w:numId w:val="1002"/>
        </w:numPr>
      </w:pPr>
      <w:r>
        <w:t xml:space="preserve">All employees sign NDA + IP Assignment</w:t>
      </w:r>
    </w:p>
    <w:p>
      <w:pPr>
        <w:pStyle w:val="Compact"/>
        <w:numPr>
          <w:ilvl w:val="0"/>
          <w:numId w:val="1002"/>
        </w:numPr>
      </w:pPr>
      <w:r>
        <w:t xml:space="preserve">Founders’ prior IP assigned to Company</w:t>
      </w:r>
    </w:p>
    <w:p>
      <w:pPr>
        <w:pStyle w:val="Heading2"/>
      </w:pPr>
      <w:bookmarkStart w:id="26" w:name="_39c869e1cc44968edeae78506b58811acead3a6"/>
      <w:r>
        <w:t xml:space="preserve">17. Representations &amp; Warranties</w:t>
      </w:r>
    </w:p>
    <w:p>
      <w:pPr>
        <w:pStyle w:val="FirstParagraph"/>
      </w:pPr>
      <w:r>
        <w:rPr>
          <w:b/>
          <w:bCs/>
        </w:rPr>
        <w:t xml:space="preserve">Company represents:</w:t>
      </w:r>
      <w:r>
        <w:t xml:space="preserve"> </w:t>
      </w:r>
      <w:r>
        <w:t xml:space="preserve">- Corporate authority</w:t>
      </w:r>
      <w:r>
        <w:t xml:space="preserve"> </w:t>
      </w:r>
      <w:r>
        <w:t xml:space="preserve">- No conflicts</w:t>
      </w:r>
      <w:r>
        <w:t xml:space="preserve"> </w:t>
      </w:r>
      <w:r>
        <w:t xml:space="preserve">- IP ownership</w:t>
      </w:r>
      <w:r>
        <w:t xml:space="preserve"> </w:t>
      </w:r>
      <w:r>
        <w:t xml:space="preserve">- Financial accuracy</w:t>
      </w:r>
      <w:r>
        <w:t xml:space="preserve"> </w:t>
      </w:r>
      <w:r>
        <w:t xml:space="preserve">- No undisclosed liabilities</w:t>
      </w:r>
      <w:r>
        <w:t xml:space="preserve"> </w:t>
      </w:r>
      <w:r>
        <w:t xml:space="preserve">- Compliance with laws</w:t>
      </w:r>
    </w:p>
    <w:p>
      <w:pPr>
        <w:pStyle w:val="BodyText"/>
      </w:pPr>
      <w:r>
        <w:rPr>
          <w:b/>
          <w:bCs/>
        </w:rPr>
        <w:t xml:space="preserve">Investor represents:</w:t>
      </w:r>
      <w:r>
        <w:t xml:space="preserve"> </w:t>
      </w:r>
      <w:r>
        <w:t xml:space="preserve">- Authority</w:t>
      </w:r>
      <w:r>
        <w:t xml:space="preserve"> </w:t>
      </w:r>
      <w:r>
        <w:t xml:space="preserve">- Investment intent</w:t>
      </w:r>
      <w:r>
        <w:t xml:space="preserve"> </w:t>
      </w:r>
      <w:r>
        <w:t xml:space="preserve">- Accredited investor status</w:t>
      </w:r>
    </w:p>
    <w:p>
      <w:pPr>
        <w:pStyle w:val="Heading2"/>
      </w:pPr>
      <w:bookmarkStart w:id="27" w:name="_88223db913a81c82e0434afb81ec6c0f31e96d8"/>
      <w:r>
        <w:t xml:space="preserve">18. Conditions Precedent</w:t>
      </w:r>
    </w:p>
    <w:p>
      <w:pPr>
        <w:pStyle w:val="FirstParagraph"/>
      </w:pPr>
      <w:r>
        <w:rPr>
          <w:b/>
          <w:bCs/>
        </w:rPr>
        <w:t xml:space="preserve">Investor obligation subject to:</w:t>
      </w:r>
      <w:r>
        <w:t xml:space="preserve"> </w:t>
      </w:r>
      <w:r>
        <w:t xml:space="preserve">- Legal DD satisfactory</w:t>
      </w:r>
      <w:r>
        <w:t xml:space="preserve"> </w:t>
      </w:r>
      <w:r>
        <w:t xml:space="preserve">- Cap table clean</w:t>
      </w:r>
      <w:r>
        <w:t xml:space="preserve"> </w:t>
      </w:r>
      <w:r>
        <w:t xml:space="preserve">- IP assignments executed</w:t>
      </w:r>
      <w:r>
        <w:t xml:space="preserve"> </w:t>
      </w:r>
      <w:r>
        <w:t xml:space="preserve">- Founder agreements signed</w:t>
      </w:r>
      <w:r>
        <w:t xml:space="preserve"> </w:t>
      </w:r>
      <w:r>
        <w:t xml:space="preserve">- No material adverse change</w:t>
      </w:r>
      <w:r>
        <w:t xml:space="preserve"> </w:t>
      </w:r>
      <w:r>
        <w:t xml:space="preserve">- Board approval</w:t>
      </w:r>
    </w:p>
    <w:p>
      <w:pPr>
        <w:pStyle w:val="Heading2"/>
      </w:pPr>
      <w:bookmarkStart w:id="28" w:name="_closing"/>
      <w:r>
        <w:t xml:space="preserve">19. Closing</w:t>
      </w:r>
    </w:p>
    <w:p>
      <w:pPr>
        <w:pStyle w:val="FirstParagraph"/>
      </w:pPr>
      <w:r>
        <w:rPr>
          <w:b/>
          <w:bCs/>
        </w:rPr>
        <w:t xml:space="preserve">Target:</w:t>
      </w:r>
      <w:r>
        <w:t xml:space="preserve"> </w:t>
      </w:r>
      <w:r>
        <w:t xml:space="preserve">Within 60 days of signing</w:t>
      </w:r>
      <w:r>
        <w:t xml:space="preserve"> </w:t>
      </w:r>
      <w:r>
        <w:rPr>
          <w:b/>
          <w:bCs/>
        </w:rPr>
        <w:t xml:space="preserve">Deliverables:</w:t>
      </w:r>
      <w:r>
        <w:t xml:space="preserve"> </w:t>
      </w:r>
      <w:r>
        <w:t xml:space="preserve">- Shareholder approval</w:t>
      </w:r>
      <w:r>
        <w:t xml:space="preserve"> </w:t>
      </w:r>
      <w:r>
        <w:t xml:space="preserve">- Share issuance</w:t>
      </w:r>
      <w:r>
        <w:t xml:space="preserve"> </w:t>
      </w:r>
      <w:r>
        <w:t xml:space="preserve">- Payment</w:t>
      </w:r>
      <w:r>
        <w:t xml:space="preserve"> </w:t>
      </w:r>
      <w:r>
        <w:t xml:space="preserve">- Updated cap table</w:t>
      </w:r>
    </w:p>
    <w:p>
      <w:pPr>
        <w:pStyle w:val="Heading2"/>
      </w:pPr>
      <w:bookmarkStart w:id="29" w:name="_f40d778f75afc7281aef44879586a7d123a6c7a"/>
      <w:r>
        <w:t xml:space="preserve">20. Fees &amp; Expenses</w:t>
      </w:r>
    </w:p>
    <w:p>
      <w:pPr>
        <w:pStyle w:val="Compact"/>
        <w:numPr>
          <w:ilvl w:val="0"/>
          <w:numId w:val="1003"/>
        </w:numPr>
      </w:pPr>
      <w:r>
        <w:t xml:space="preserve">Company pays own legal</w:t>
      </w:r>
    </w:p>
    <w:p>
      <w:pPr>
        <w:pStyle w:val="Compact"/>
        <w:numPr>
          <w:ilvl w:val="0"/>
          <w:numId w:val="1003"/>
        </w:numPr>
      </w:pPr>
      <w:r>
        <w:t xml:space="preserve">Investor pays own legal</w:t>
      </w:r>
    </w:p>
    <w:p>
      <w:pPr>
        <w:pStyle w:val="Compact"/>
        <w:numPr>
          <w:ilvl w:val="0"/>
          <w:numId w:val="1003"/>
        </w:numPr>
      </w:pPr>
      <w:r>
        <w:t xml:space="preserve">If deal closes: Company reimburses Investor up to SAR [cap]</w:t>
      </w:r>
    </w:p>
    <w:p>
      <w:pPr>
        <w:pStyle w:val="Compact"/>
        <w:numPr>
          <w:ilvl w:val="0"/>
          <w:numId w:val="1003"/>
        </w:numPr>
      </w:pPr>
      <w:r>
        <w:t xml:space="preserve">If deal fails: each pays own</w:t>
      </w:r>
    </w:p>
    <w:p>
      <w:pPr>
        <w:pStyle w:val="Heading2"/>
      </w:pPr>
      <w:bookmarkStart w:id="30" w:name="_816ff414627b9c0347624b7b37d0b0d498a46b4"/>
      <w:r>
        <w:t xml:space="preserve">21. Governing Law</w:t>
      </w:r>
    </w:p>
    <w:p>
      <w:pPr>
        <w:pStyle w:val="FirstParagraph"/>
      </w:pPr>
      <w:r>
        <w:t xml:space="preserve">Laws of the Kingdom of Saudi Arabia</w:t>
      </w:r>
    </w:p>
    <w:p>
      <w:pPr>
        <w:pStyle w:val="BodyText"/>
      </w:pPr>
      <w:r>
        <w:rPr>
          <w:b/>
          <w:bCs/>
        </w:rPr>
        <w:t xml:space="preserve">Jurisdiction:</w:t>
      </w:r>
      <w:r>
        <w:t xml:space="preserve"> </w:t>
      </w:r>
      <w:r>
        <w:t xml:space="preserve">Courts of Riyadh</w:t>
      </w:r>
      <w:r>
        <w:t xml:space="preserve"> </w:t>
      </w:r>
      <w:r>
        <w:rPr>
          <w:b/>
          <w:bCs/>
        </w:rPr>
        <w:t xml:space="preserve">Dispute Resolution:</w:t>
      </w:r>
      <w:r>
        <w:t xml:space="preserve"> </w:t>
      </w:r>
      <w:r>
        <w:t xml:space="preserve">Arbitration (SCCA)</w:t>
      </w:r>
    </w:p>
    <w:p>
      <w:pPr>
        <w:pStyle w:val="Heading2"/>
      </w:pPr>
      <w:bookmarkStart w:id="31" w:name="_exclusivity"/>
      <w:r>
        <w:t xml:space="preserve">22. Exclusivity</w:t>
      </w:r>
    </w:p>
    <w:p>
      <w:pPr>
        <w:pStyle w:val="FirstParagraph"/>
      </w:pPr>
      <w:r>
        <w:t xml:space="preserve">30 days from signature; no other negotiations.</w:t>
      </w:r>
    </w:p>
    <w:p>
      <w:pPr>
        <w:pStyle w:val="Heading2"/>
      </w:pPr>
      <w:bookmarkStart w:id="32" w:name="_expiry"/>
      <w:r>
        <w:t xml:space="preserve">23. Expiry</w:t>
      </w:r>
    </w:p>
    <w:p>
      <w:pPr>
        <w:pStyle w:val="FirstParagraph"/>
      </w:pPr>
      <w:r>
        <w:t xml:space="preserve">This term sheet expires on [date] if not signed.</w:t>
      </w:r>
    </w:p>
    <w:p>
      <w:pPr>
        <w:pStyle w:val="Heading2"/>
      </w:pPr>
      <w:bookmarkStart w:id="33" w:name="_b209791517618161e4d24e8474a53321e16a442"/>
      <w:r>
        <w:t xml:space="preserve">24. Non-Binding</w:t>
      </w:r>
    </w:p>
    <w:p>
      <w:pPr>
        <w:pStyle w:val="FirstParagraph"/>
      </w:pPr>
      <w:r>
        <w:t xml:space="preserve">Except for confidentiality, exclusivity, and fees — non-binding until definitive agreements.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Signatures:</w:t>
      </w:r>
    </w:p>
    <w:p>
      <w:pPr>
        <w:pStyle w:val="BodyText"/>
      </w:pPr>
      <w:r>
        <w:t xml:space="preserve">Company: ________________________ Date: ________</w:t>
      </w:r>
    </w:p>
    <w:p>
      <w:pPr>
        <w:pStyle w:val="BodyText"/>
      </w:pPr>
      <w:r>
        <w:t xml:space="preserve">Investor: ________________________ Date: ________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Term Sheet is a summary of proposed terms for discussion purposes only. It does not constitute a binding commitment. Final terms subject to definitive agreements and due diligence.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Full Term Sheet</dc:title>
  <dc:creator>HISN Platform</dc:creator>
  <cp:keywords>HISN, FCDOS, financial crime, decision operating system</cp:keywords>
  <dcterms:created xsi:type="dcterms:W3CDTF">2026-10-14T09:35:04Z</dcterms:created>
  <dcterms:modified xsi:type="dcterms:W3CDTF">2026-10-14T09:35:04Z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