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01_Investment_Memo</w:t>
      </w:r>
    </w:p>
    <w:p>
      <w:pPr>
        <w:pStyle w:val="Heading1"/>
      </w:pPr>
      <w:bookmarkStart w:id="19" w:name="_08511abbb3071fd2a0f6b4447ac356b19dd1516"/>
      <w:r>
        <w:t xml:space="preserve">Investment Memorandum</w:t>
      </w:r>
    </w:p>
    <w:p>
      <w:pPr>
        <w:pStyle w:val="FirstParagraph"/>
      </w:pPr>
      <w:r>
        <w:rPr>
          <w:b/>
          <w:bCs/>
        </w:rPr>
        <w:t xml:space="preserve">HISN — Financial Crime Decision Operating System</w:t>
      </w:r>
      <w:r>
        <w:t xml:space="preserve"> </w:t>
      </w:r>
      <w:r>
        <w:rPr>
          <w:b/>
          <w:bCs/>
        </w:rPr>
        <w:t xml:space="preserve">Version:</w:t>
      </w:r>
      <w:r>
        <w:t xml:space="preserve"> </w:t>
      </w:r>
      <w:r>
        <w:t xml:space="preserve">3.0 |</w:t>
      </w:r>
      <w:r>
        <w:t xml:space="preserve"> </w:t>
      </w:r>
      <w:r>
        <w:rPr>
          <w:b/>
          <w:bCs/>
        </w:rPr>
        <w:t xml:space="preserve">Date:</w:t>
      </w:r>
      <w:r>
        <w:t xml:space="preserve"> </w:t>
      </w:r>
      <w:r>
        <w:t xml:space="preserve">October 2026</w:t>
      </w:r>
      <w:r>
        <w:t xml:space="preserve"> </w:t>
      </w:r>
      <w:r>
        <w:rPr>
          <w:b/>
          <w:bCs/>
        </w:rPr>
        <w:t xml:space="preserve">Owner:</w:t>
      </w:r>
      <w:r>
        <w:t xml:space="preserve"> </w:t>
      </w:r>
      <w:r>
        <w:t xml:space="preserve">Mohamed Abdo — Founder &amp; CEO</w:t>
      </w:r>
      <w:r>
        <w:t xml:space="preserve"> </w:t>
      </w:r>
      <w:r>
        <w:rPr>
          <w:b/>
          <w:bCs/>
        </w:rPr>
        <w:t xml:space="preserve">Classification:</w:t>
      </w:r>
      <w:r>
        <w:t xml:space="preserve"> </w:t>
      </w:r>
      <w:r>
        <w:t xml:space="preserve">Confidential |</w:t>
      </w:r>
      <w:r>
        <w:t xml:space="preserve"> </w:t>
      </w:r>
      <w:r>
        <w:rPr>
          <w:b/>
          <w:bCs/>
        </w:rPr>
        <w:t xml:space="preserve">Status:</w:t>
      </w:r>
      <w:r>
        <w:t xml:space="preserve"> </w:t>
      </w:r>
      <w:r>
        <w:t xml:space="preserve">Framework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0" w:name="_df3d0f1cc916325ee18f97ce3e72745a510564f"/>
      <w:r>
        <w:t xml:space="preserve">Document Control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Document Title</w:t>
            </w:r>
          </w:p>
        </w:tc>
        <w:tc>
          <w:tcPr/>
          <w:p>
            <w:pPr>
              <w:pStyle w:val="Compact"/>
            </w:pPr>
            <w:r>
              <w:t xml:space="preserve">Investment Memorandum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3.0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Date</w:t>
            </w:r>
          </w:p>
        </w:tc>
        <w:tc>
          <w:tcPr/>
          <w:p>
            <w:pPr>
              <w:pStyle w:val="Compact"/>
            </w:pPr>
            <w:r>
              <w:t xml:space="preserve">October 2026</w:t>
            </w:r>
          </w:p>
        </w:tc>
      </w:tr>
      <w:tr>
        <w:tc>
          <w:tcPr/>
          <w:p>
            <w:pPr>
              <w:pStyle w:val="Compact"/>
            </w:pPr>
            <w:r>
              <w:t xml:space="preserve">Owner</w:t>
            </w:r>
          </w:p>
        </w:tc>
        <w:tc>
          <w:tcPr/>
          <w:p>
            <w:pPr>
              <w:pStyle w:val="Compact"/>
            </w:pPr>
            <w:r>
              <w:t xml:space="preserve">Founder &amp; CEO</w:t>
            </w:r>
          </w:p>
        </w:tc>
      </w:tr>
      <w:tr>
        <w:tc>
          <w:tcPr/>
          <w:p>
            <w:pPr>
              <w:pStyle w:val="Compact"/>
            </w:pPr>
            <w:r>
              <w:t xml:space="preserve">Classification</w:t>
            </w:r>
          </w:p>
        </w:tc>
        <w:tc>
          <w:tcPr/>
          <w:p>
            <w:pPr>
              <w:pStyle w:val="Compact"/>
            </w:pPr>
            <w:r>
              <w:t xml:space="preserve">Confidential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Framework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Basis of Preparation</w:t>
            </w:r>
          </w:p>
        </w:tc>
        <w:tc>
          <w:tcPr/>
          <w:p>
            <w:pPr>
              <w:pStyle w:val="Compact"/>
            </w:pPr>
            <w:r>
              <w:t xml:space="preserve">HISN Commercial Intelligence SSOT (Folder 37)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Limitations</w:t>
            </w:r>
          </w:p>
        </w:tc>
        <w:tc>
          <w:tcPr/>
          <w:p>
            <w:pPr>
              <w:pStyle w:val="Compact"/>
            </w:pPr>
            <w:r>
              <w:t xml:space="preserve">Pre-revenue. No customer validation.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21" w:name="_dc813a1f9a8f0350f3042ed521417f103b1451e"/>
      <w:r>
        <w:t xml:space="preserve">1. Investment Question</w:t>
      </w:r>
    </w:p>
    <w:p>
      <w:pPr>
        <w:pStyle w:val="FirstParagraph"/>
      </w:pPr>
      <w:r>
        <w:t xml:space="preserve">Should an investor commit SAR 7.5M to HISN at this stage, given the current evidence base?</w:t>
      </w:r>
    </w:p>
    <w:p>
      <w:pPr>
        <w:pStyle w:val="BodyText"/>
      </w:pPr>
      <w:r>
        <w:t xml:space="preserve">This memo does not answer</w:t>
      </w:r>
      <w:r>
        <w:t xml:space="preserve"> </w:t>
      </w:r>
      <w:r>
        <w:t xml:space="preserve">“yes”</w:t>
      </w:r>
      <w:r>
        <w:t xml:space="preserve"> </w:t>
      </w:r>
      <w:r>
        <w:t xml:space="preserve">or</w:t>
      </w:r>
      <w:r>
        <w:t xml:space="preserve"> </w:t>
      </w:r>
      <w:r>
        <w:t xml:space="preserve">“no.”</w:t>
      </w:r>
      <w:r>
        <w:t xml:space="preserve"> </w:t>
      </w:r>
      <w:r>
        <w:t xml:space="preserve">It presents the commercial case and identifies conditions that would support an investment decision.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2" w:name="_1673fb8dae0b405733298a603b9e022f50ff2eb"/>
      <w:r>
        <w:t xml:space="preserve">2. Transaction Summary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  <w:tc>
          <w:tcPr/>
          <w:p>
            <w:pPr>
              <w:pStyle w:val="Compact"/>
            </w:pPr>
            <w:r>
              <w:t xml:space="preserve">Classification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Pre-Money Valuation</w:t>
            </w:r>
          </w:p>
        </w:tc>
        <w:tc>
          <w:tcPr/>
          <w:p>
            <w:pPr>
              <w:pStyle w:val="Compact"/>
            </w:pPr>
            <w:r>
              <w:t xml:space="preserve">SAR 30,000,000</w:t>
            </w:r>
          </w:p>
        </w:tc>
        <w:tc>
          <w:tcPr/>
          <w:p>
            <w:pPr>
              <w:pStyle w:val="Compact"/>
            </w:pPr>
            <w:r>
              <w:t xml:space="preserve">MANAGEMENT ASSUMPTION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Investment Amount</w:t>
            </w:r>
          </w:p>
        </w:tc>
        <w:tc>
          <w:tcPr/>
          <w:p>
            <w:pPr>
              <w:pStyle w:val="Compact"/>
            </w:pPr>
            <w:r>
              <w:t xml:space="preserve">SAR 7,500,000</w:t>
            </w:r>
          </w:p>
        </w:tc>
        <w:tc>
          <w:tcPr/>
          <w:p>
            <w:pPr>
              <w:pStyle w:val="Compact"/>
            </w:pPr>
            <w:r>
              <w:t xml:space="preserve">MANAGEMENT ASSUMPTION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Post-Money Valuation</w:t>
            </w:r>
          </w:p>
        </w:tc>
        <w:tc>
          <w:tcPr/>
          <w:p>
            <w:pPr>
              <w:pStyle w:val="Compact"/>
            </w:pPr>
            <w:r>
              <w:t xml:space="preserve">SAR 37,500,000</w:t>
            </w:r>
          </w:p>
        </w:tc>
        <w:tc>
          <w:tcPr/>
          <w:p>
            <w:pPr>
              <w:pStyle w:val="Compact"/>
            </w:pPr>
            <w:r>
              <w:t xml:space="preserve">DERIVED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New Investor Ownership</w:t>
            </w:r>
          </w:p>
        </w:tc>
        <w:tc>
          <w:tcPr/>
          <w:p>
            <w:pPr>
              <w:pStyle w:val="Compact"/>
            </w:pPr>
            <w:r>
              <w:t xml:space="preserve">20.00%</w:t>
            </w:r>
          </w:p>
        </w:tc>
        <w:tc>
          <w:tcPr/>
          <w:p>
            <w:pPr>
              <w:pStyle w:val="Compact"/>
            </w:pPr>
            <w:r>
              <w:t xml:space="preserve">DERIVED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Existing Ownership</w:t>
            </w:r>
          </w:p>
        </w:tc>
        <w:tc>
          <w:tcPr/>
          <w:p>
            <w:pPr>
              <w:pStyle w:val="Compact"/>
            </w:pPr>
            <w:r>
              <w:t xml:space="preserve">80.00%</w:t>
            </w:r>
          </w:p>
        </w:tc>
        <w:tc>
          <w:tcPr/>
          <w:p>
            <w:pPr>
              <w:pStyle w:val="Compact"/>
            </w:pPr>
            <w:r>
              <w:t xml:space="preserve">DERIVED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Security</w:t>
            </w:r>
          </w:p>
        </w:tc>
        <w:tc>
          <w:tcPr/>
          <w:p>
            <w:pPr>
              <w:pStyle w:val="Compact"/>
            </w:pPr>
            <w:r>
              <w:t xml:space="preserve">Series Seed Preferred</w:t>
            </w:r>
          </w:p>
        </w:tc>
        <w:tc>
          <w:tcPr/>
          <w:p>
            <w:pPr>
              <w:pStyle w:val="Compact"/>
            </w:pPr>
            <w:r>
              <w:t xml:space="preserve">MANAGEMENT ASSUMPTION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23" w:name="_7fc2072c5738f7a962dfb3262acfa976778bcf7"/>
      <w:r>
        <w:t xml:space="preserve">3. Valuation Rationale</w:t>
      </w:r>
    </w:p>
    <w:p>
      <w:pPr>
        <w:pStyle w:val="FirstParagraph"/>
      </w:pPr>
      <w:r>
        <w:t xml:space="preserve">The SAR 30M anchor is a</w:t>
      </w:r>
      <w:r>
        <w:t xml:space="preserve"> </w:t>
      </w:r>
      <w:r>
        <w:rPr>
          <w:b/>
          <w:bCs/>
        </w:rPr>
        <w:t xml:space="preserve">negotiated position</w:t>
      </w:r>
      <w:r>
        <w:t xml:space="preserve">, not a certified valuation. It is supported by four methods: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Method</w:t>
            </w:r>
          </w:p>
        </w:tc>
        <w:tc>
          <w:tcPr/>
          <w:p>
            <w:pPr>
              <w:pStyle w:val="Compact"/>
            </w:pPr>
            <w:r>
              <w:t xml:space="preserve">Range (SAR)</w:t>
            </w:r>
          </w:p>
        </w:tc>
        <w:tc>
          <w:tcPr/>
          <w:p>
            <w:pPr>
              <w:pStyle w:val="Compact"/>
            </w:pPr>
            <w:r>
              <w:t xml:space="preserve">Weight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Replacement Cost</w:t>
            </w:r>
          </w:p>
        </w:tc>
        <w:tc>
          <w:tcPr/>
          <w:p>
            <w:pPr>
              <w:pStyle w:val="Compact"/>
            </w:pPr>
            <w:r>
              <w:t xml:space="preserve">4M – 6M</w:t>
            </w:r>
          </w:p>
        </w:tc>
        <w:tc>
          <w:tcPr/>
          <w:p>
            <w:pPr>
              <w:pStyle w:val="Compact"/>
            </w:pPr>
            <w:r>
              <w:t xml:space="preserve">15%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Technology &amp; IP Scorecard</w:t>
            </w:r>
          </w:p>
        </w:tc>
        <w:tc>
          <w:tcPr/>
          <w:p>
            <w:pPr>
              <w:pStyle w:val="Compact"/>
            </w:pPr>
            <w:r>
              <w:t xml:space="preserve">6M – 9M</w:t>
            </w:r>
          </w:p>
        </w:tc>
        <w:tc>
          <w:tcPr/>
          <w:p>
            <w:pPr>
              <w:pStyle w:val="Compact"/>
            </w:pPr>
            <w:r>
              <w:t xml:space="preserve">25%</w:t>
            </w:r>
          </w:p>
        </w:tc>
      </w:tr>
      <w:tr>
        <w:tc>
          <w:tcPr/>
          <w:p>
            <w:pPr>
              <w:pStyle w:val="Compact"/>
            </w:pPr>
            <w:r>
              <w:t xml:space="preserve">Market &amp; Comparable Benchmark</w:t>
            </w:r>
          </w:p>
        </w:tc>
        <w:tc>
          <w:tcPr/>
          <w:p>
            <w:pPr>
              <w:pStyle w:val="Compact"/>
            </w:pPr>
            <w:r>
              <w:t xml:space="preserve">8M – 12M</w:t>
            </w:r>
          </w:p>
        </w:tc>
        <w:tc>
          <w:tcPr/>
          <w:p>
            <w:pPr>
              <w:pStyle w:val="Compact"/>
            </w:pPr>
            <w:r>
              <w:t xml:space="preserve">30%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Venture / DCF Potential</w:t>
            </w:r>
          </w:p>
        </w:tc>
        <w:tc>
          <w:tcPr/>
          <w:p>
            <w:pPr>
              <w:pStyle w:val="Compact"/>
            </w:pPr>
            <w:r>
              <w:t xml:space="preserve">10M – 15M</w:t>
            </w:r>
          </w:p>
        </w:tc>
        <w:tc>
          <w:tcPr/>
          <w:p>
            <w:pPr>
              <w:pStyle w:val="Compact"/>
            </w:pPr>
            <w:r>
              <w:t xml:space="preserve">30%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Composite Range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22M – 32M</w:t>
            </w:r>
          </w:p>
        </w:tc>
        <w:tc>
          <w:tcPr/>
          <w:p>
            <w:pPr>
              <w:pStyle w:val="Compact"/>
            </w:pPr>
            <w:r>
              <w:t xml:space="preserve">100%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Selected Anchor:</w:t>
      </w:r>
      <w:r>
        <w:t xml:space="preserve"> </w:t>
      </w:r>
      <w:r>
        <w:t xml:space="preserve">SAR 30M (top of composite range).</w:t>
      </w:r>
    </w:p>
    <w:p>
      <w:pPr>
        <w:pStyle w:val="BodyText"/>
      </w:pPr>
      <w:r>
        <w:rPr>
          <w:b/>
          <w:bCs/>
        </w:rPr>
        <w:t xml:space="preserve">Classification:</w:t>
      </w:r>
      <w:r>
        <w:t xml:space="preserve"> </w:t>
      </w:r>
      <w:r>
        <w:t xml:space="preserve">MANAGEMENT ASSUMPTION — requires independent review.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4" w:name="_c4bb5767da09a593293f093d1d9c5aca68e9940"/>
      <w:r>
        <w:t xml:space="preserve">4. Market Opportunity</w:t>
      </w:r>
    </w:p>
    <w:p>
      <w:pPr>
        <w:pStyle w:val="FirstParagraph"/>
      </w:pPr>
      <w:r>
        <w:rPr>
          <w:b/>
          <w:bCs/>
        </w:rPr>
        <w:t xml:space="preserve">Saudi Financial Institutions: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Segment</w:t>
            </w:r>
          </w:p>
        </w:tc>
        <w:tc>
          <w:tcPr/>
          <w:p>
            <w:pPr>
              <w:pStyle w:val="Compact"/>
            </w:pPr>
            <w:r>
              <w:t xml:space="preserve">Count</w:t>
            </w:r>
          </w:p>
        </w:tc>
        <w:tc>
          <w:tcPr/>
          <w:p>
            <w:pPr>
              <w:pStyle w:val="Compact"/>
            </w:pPr>
            <w:r>
              <w:t xml:space="preserve">Classification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Banks (Local)</w:t>
            </w:r>
          </w:p>
        </w:tc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EXTERNAL FACT — Tier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Digital Banks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EXTERNAL FACT — Tier 2</w:t>
            </w:r>
          </w:p>
        </w:tc>
      </w:tr>
      <w:tr>
        <w:tc>
          <w:tcPr/>
          <w:p>
            <w:pPr>
              <w:pStyle w:val="Compact"/>
            </w:pPr>
            <w:r>
              <w:t xml:space="preserve">Foreign Bank Branches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EXTERNAL FACT — Tier 2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Finance Companies</w:t>
            </w:r>
          </w:p>
        </w:tc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EXTERNAL FACT — Tier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Insurance Companies</w:t>
            </w:r>
          </w:p>
        </w:tc>
        <w:tc>
          <w:tcPr/>
          <w:p>
            <w:pPr>
              <w:pStyle w:val="Compact"/>
            </w:pPr>
            <w:r>
              <w:t xml:space="preserve">29–30</w:t>
            </w:r>
          </w:p>
        </w:tc>
        <w:tc>
          <w:tcPr/>
          <w:p>
            <w:pPr>
              <w:pStyle w:val="Compact"/>
            </w:pPr>
            <w:r>
              <w:t xml:space="preserve">EXTERNAL FACT — Tier 2</w:t>
            </w:r>
          </w:p>
        </w:tc>
      </w:tr>
      <w:tr>
        <w:tc>
          <w:tcPr/>
          <w:p>
            <w:pPr>
              <w:pStyle w:val="Compact"/>
            </w:pPr>
            <w:r>
              <w:t xml:space="preserve">PSPs</w:t>
            </w:r>
          </w:p>
        </w:tc>
        <w:tc>
          <w:tcPr/>
          <w:p>
            <w:pPr>
              <w:pStyle w:val="Compact"/>
            </w:pPr>
            <w:r>
              <w:t xml:space="preserve">27–34</w:t>
            </w:r>
          </w:p>
        </w:tc>
        <w:tc>
          <w:tcPr/>
          <w:p>
            <w:pPr>
              <w:pStyle w:val="Compact"/>
            </w:pPr>
            <w:r>
              <w:t xml:space="preserve">CONFLICT — Tier 3</w:t>
            </w:r>
          </w:p>
        </w:tc>
      </w:tr>
      <w:tr>
        <w:tc>
          <w:tcPr/>
          <w:p>
            <w:pPr>
              <w:pStyle w:val="Compact"/>
            </w:pPr>
            <w:r>
              <w:t xml:space="preserve">CMA Institutions</w:t>
            </w:r>
          </w:p>
        </w:tc>
        <w:tc>
          <w:tcPr/>
          <w:p>
            <w:pPr>
              <w:pStyle w:val="Compact"/>
            </w:pPr>
            <w:r>
              <w:t xml:space="preserve">UNKNOWN</w:t>
            </w:r>
          </w:p>
        </w:tc>
        <w:tc>
          <w:tcPr/>
          <w:p>
            <w:pPr>
              <w:pStyle w:val="Compact"/>
            </w:pPr>
            <w:r>
              <w:t xml:space="preserve">UNKNOWN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Total Verified:</w:t>
      </w:r>
      <w:r>
        <w:t xml:space="preserve"> </w:t>
      </w:r>
      <w:r>
        <w:t xml:space="preserve">128+ institutions.</w:t>
      </w:r>
    </w:p>
    <w:p>
      <w:pPr>
        <w:pStyle w:val="BodyText"/>
      </w:pPr>
      <w:r>
        <w:rPr>
          <w:b/>
          <w:bCs/>
        </w:rPr>
        <w:t xml:space="preserve">Market Size:</w:t>
      </w:r>
      <w:r>
        <w:t xml:space="preserve"> </w:t>
      </w:r>
      <w:r>
        <w:t xml:space="preserve">UNKNOWN — conflicting sources.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5" w:name="_951877996fc355db5e1efad29b24b0c9fc51083"/>
      <w:r>
        <w:t xml:space="preserve">5. Product Overview</w:t>
      </w:r>
    </w:p>
    <w:p>
      <w:pPr>
        <w:pStyle w:val="FirstParagraph"/>
      </w:pPr>
      <w:r>
        <w:t xml:space="preserve">HISN FCDOS provides a unified decision runtime for financial crime decisions:</w:t>
      </w:r>
    </w:p>
    <w:p>
      <w:pPr>
        <w:pStyle w:val="Compact"/>
        <w:numPr>
          <w:ilvl w:val="0"/>
          <w:numId w:val="1001"/>
        </w:numPr>
      </w:pPr>
      <w:r>
        <w:t xml:space="preserve">AML, Fraud, Sanctions, KYC, KYB, Graph engines</w:t>
      </w:r>
    </w:p>
    <w:p>
      <w:pPr>
        <w:pStyle w:val="Compact"/>
        <w:numPr>
          <w:ilvl w:val="0"/>
          <w:numId w:val="1001"/>
        </w:numPr>
      </w:pPr>
      <w:r>
        <w:t xml:space="preserve">Canonical Decision Runtime</w:t>
      </w:r>
    </w:p>
    <w:p>
      <w:pPr>
        <w:pStyle w:val="Compact"/>
        <w:numPr>
          <w:ilvl w:val="0"/>
          <w:numId w:val="1001"/>
        </w:numPr>
      </w:pPr>
      <w:r>
        <w:t xml:space="preserve">Decision DNA + Evidence + Audit</w:t>
      </w:r>
    </w:p>
    <w:p>
      <w:pPr>
        <w:pStyle w:val="Compact"/>
        <w:numPr>
          <w:ilvl w:val="0"/>
          <w:numId w:val="1001"/>
        </w:numPr>
      </w:pPr>
      <w:r>
        <w:t xml:space="preserve">Multi-tenant RLS</w:t>
      </w:r>
    </w:p>
    <w:p>
      <w:pPr>
        <w:pStyle w:val="Compact"/>
        <w:numPr>
          <w:ilvl w:val="0"/>
          <w:numId w:val="1001"/>
        </w:numPr>
      </w:pPr>
      <w:r>
        <w:t xml:space="preserve">API-first architecture</w:t>
      </w:r>
    </w:p>
    <w:p>
      <w:pPr>
        <w:pStyle w:val="FirstParagraph"/>
      </w:pPr>
      <w:r>
        <w:rPr>
          <w:b/>
          <w:bCs/>
        </w:rPr>
        <w:t xml:space="preserve">Classification:</w:t>
      </w:r>
      <w:r>
        <w:t xml:space="preserve"> </w:t>
      </w:r>
      <w:r>
        <w:t xml:space="preserve">Management description, verified against repository.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6" w:name="_3b8c242903304135c47fd2b218fa417ed75df07"/>
      <w:r>
        <w:t xml:space="preserve">6. Use of Proceeds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Category</w:t>
            </w:r>
          </w:p>
        </w:tc>
        <w:tc>
          <w:tcPr/>
          <w:p>
            <w:pPr>
              <w:pStyle w:val="Compact"/>
            </w:pPr>
            <w:r>
              <w:t xml:space="preserve">Allocation</w:t>
            </w:r>
          </w:p>
        </w:tc>
        <w:tc>
          <w:tcPr/>
          <w:p>
            <w:pPr>
              <w:pStyle w:val="Compact"/>
            </w:pPr>
            <w:r>
              <w:t xml:space="preserve">Classification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Team Expansion</w:t>
            </w:r>
          </w:p>
        </w:tc>
        <w:tc>
          <w:tcPr/>
          <w:p>
            <w:pPr>
              <w:pStyle w:val="Compact"/>
            </w:pPr>
            <w:r>
              <w:t xml:space="preserve">40%</w:t>
            </w:r>
          </w:p>
        </w:tc>
        <w:tc>
          <w:tcPr/>
          <w:p>
            <w:pPr>
              <w:pStyle w:val="Compact"/>
            </w:pPr>
            <w:r>
              <w:t xml:space="preserve">MANAGEMENT ASSUMPTION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Security &amp; Compliance</w:t>
            </w:r>
          </w:p>
        </w:tc>
        <w:tc>
          <w:tcPr/>
          <w:p>
            <w:pPr>
              <w:pStyle w:val="Compact"/>
            </w:pPr>
            <w:r>
              <w:t xml:space="preserve">20%</w:t>
            </w:r>
          </w:p>
        </w:tc>
        <w:tc>
          <w:tcPr/>
          <w:p>
            <w:pPr>
              <w:pStyle w:val="Compact"/>
            </w:pPr>
            <w:r>
              <w:t xml:space="preserve">MANAGEMENT ASSUMPTION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Product &amp; Engineering</w:t>
            </w:r>
          </w:p>
        </w:tc>
        <w:tc>
          <w:tcPr/>
          <w:p>
            <w:pPr>
              <w:pStyle w:val="Compact"/>
            </w:pPr>
            <w:r>
              <w:t xml:space="preserve">15%</w:t>
            </w:r>
          </w:p>
        </w:tc>
        <w:tc>
          <w:tcPr/>
          <w:p>
            <w:pPr>
              <w:pStyle w:val="Compact"/>
            </w:pPr>
            <w:r>
              <w:t xml:space="preserve">MANAGEMENT ASSUMPTION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GTM &amp; Pilot</w:t>
            </w:r>
          </w:p>
        </w:tc>
        <w:tc>
          <w:tcPr/>
          <w:p>
            <w:pPr>
              <w:pStyle w:val="Compact"/>
            </w:pPr>
            <w:r>
              <w:t xml:space="preserve">15%</w:t>
            </w:r>
          </w:p>
        </w:tc>
        <w:tc>
          <w:tcPr/>
          <w:p>
            <w:pPr>
              <w:pStyle w:val="Compact"/>
            </w:pPr>
            <w:r>
              <w:t xml:space="preserve">MANAGEMENT ASSUMPTION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Working Capital</w:t>
            </w:r>
          </w:p>
        </w:tc>
        <w:tc>
          <w:tcPr/>
          <w:p>
            <w:pPr>
              <w:pStyle w:val="Compact"/>
            </w:pPr>
            <w:r>
              <w:t xml:space="preserve">10%</w:t>
            </w:r>
          </w:p>
        </w:tc>
        <w:tc>
          <w:tcPr/>
          <w:p>
            <w:pPr>
              <w:pStyle w:val="Compact"/>
            </w:pPr>
            <w:r>
              <w:t xml:space="preserve">MANAGEMENT ASSUMPTION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Total: SAR 7.5M.</w:t>
      </w:r>
      <w:r>
        <w:t xml:space="preserve"> </w:t>
      </w:r>
      <w:r>
        <w:t xml:space="preserve">Allocations are SCENARIO.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7" w:name="_58547ed5ef42ed9fd74a8ab9c664d374b074b5a"/>
      <w:r>
        <w:t xml:space="preserve">7. Financial Projections</w:t>
      </w:r>
    </w:p>
    <w:p>
      <w:pPr>
        <w:pStyle w:val="FirstParagraph"/>
      </w:pPr>
      <w:r>
        <w:rPr>
          <w:b/>
          <w:bCs/>
        </w:rPr>
        <w:t xml:space="preserve">Classification:</w:t>
      </w:r>
      <w:r>
        <w:t xml:space="preserve"> </w:t>
      </w:r>
      <w:r>
        <w:t xml:space="preserve">ALL SCENARIO — not forecasts.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Metric</w:t>
            </w:r>
          </w:p>
        </w:tc>
        <w:tc>
          <w:tcPr/>
          <w:p>
            <w:pPr>
              <w:pStyle w:val="Compact"/>
            </w:pPr>
            <w:r>
              <w:t xml:space="preserve">Y1</w:t>
            </w:r>
          </w:p>
        </w:tc>
        <w:tc>
          <w:tcPr/>
          <w:p>
            <w:pPr>
              <w:pStyle w:val="Compact"/>
            </w:pPr>
            <w:r>
              <w:t xml:space="preserve">Y3</w:t>
            </w:r>
          </w:p>
        </w:tc>
        <w:tc>
          <w:tcPr/>
          <w:p>
            <w:pPr>
              <w:pStyle w:val="Compact"/>
            </w:pPr>
            <w:r>
              <w:t xml:space="preserve">Y5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Revenue (SAR M)</w:t>
            </w:r>
          </w:p>
        </w:tc>
        <w:tc>
          <w:tcPr/>
          <w:p>
            <w:pPr>
              <w:pStyle w:val="Compact"/>
            </w:pPr>
            <w:r>
              <w:t xml:space="preserve">0.75</w:t>
            </w:r>
          </w:p>
        </w:tc>
        <w:tc>
          <w:tcPr/>
          <w:p>
            <w:pPr>
              <w:pStyle w:val="Compact"/>
            </w:pPr>
            <w:r>
              <w:t xml:space="preserve">13.0</w:t>
            </w:r>
          </w:p>
        </w:tc>
        <w:tc>
          <w:tcPr/>
          <w:p>
            <w:pPr>
              <w:pStyle w:val="Compact"/>
            </w:pPr>
            <w:r>
              <w:t xml:space="preserve">77.0</w:t>
            </w:r>
          </w:p>
        </w:tc>
      </w:tr>
      <w:tr>
        <w:tc>
          <w:tcPr/>
          <w:p>
            <w:pPr>
              <w:pStyle w:val="Compact"/>
            </w:pPr>
            <w:r>
              <w:t xml:space="preserve">Customers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EBITDA (SAR M)</w:t>
            </w:r>
          </w:p>
        </w:tc>
        <w:tc>
          <w:tcPr/>
          <w:p>
            <w:pPr>
              <w:pStyle w:val="Compact"/>
            </w:pPr>
            <w:r>
              <w:t xml:space="preserve">(5.4)</w:t>
            </w:r>
          </w:p>
        </w:tc>
        <w:tc>
          <w:tcPr/>
          <w:p>
            <w:pPr>
              <w:pStyle w:val="Compact"/>
            </w:pPr>
            <w:r>
              <w:t xml:space="preserve">(10.5)</w:t>
            </w:r>
          </w:p>
        </w:tc>
        <w:tc>
          <w:tcPr/>
          <w:p>
            <w:pPr>
              <w:pStyle w:val="Compact"/>
            </w:pPr>
            <w:r>
              <w:t xml:space="preserve">4.0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Note:</w:t>
      </w:r>
      <w:r>
        <w:t xml:space="preserve"> </w:t>
      </w:r>
      <w:r>
        <w:t xml:space="preserve">No customer interviews, no WTP data, no actual CAC/LTV. All projections are SCENARIO.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8" w:name="_89f85cd3ca26077d8e8c7caa8b2d1dc9834eef8"/>
      <w:r>
        <w:t xml:space="preserve">8. Key Risks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Risk</w:t>
            </w:r>
          </w:p>
        </w:tc>
        <w:tc>
          <w:tcPr/>
          <w:p>
            <w:pPr>
              <w:pStyle w:val="Compact"/>
            </w:pPr>
            <w:r>
              <w:t xml:space="preserve">Inherent Score</w:t>
            </w:r>
          </w:p>
        </w:tc>
        <w:tc>
          <w:tcPr/>
          <w:p>
            <w:pPr>
              <w:pStyle w:val="Compact"/>
            </w:pPr>
            <w:r>
              <w:t xml:space="preserve">Severity</w:t>
            </w:r>
          </w:p>
        </w:tc>
      </w:tr>
      <w:tr>
        <w:tc>
          <w:tcPr/>
          <w:p>
            <w:pPr>
              <w:pStyle w:val="Compact"/>
            </w:pPr>
            <w:r>
              <w:t xml:space="preserve">No customer validation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CRITICAL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No WTP data</w:t>
            </w:r>
          </w:p>
        </w:tc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</w:tr>
      <w:tr>
        <w:tc>
          <w:tcPr/>
          <w:p>
            <w:pPr>
              <w:pStyle w:val="Compact"/>
            </w:pPr>
            <w:r>
              <w:t xml:space="preserve">Long sales cycles</w:t>
            </w:r>
          </w:p>
        </w:tc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7.5M may not reach break-even</w:t>
            </w:r>
          </w:p>
        </w:tc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</w:tr>
      <w:tr>
        <w:tc>
          <w:tcPr/>
          <w:p>
            <w:pPr>
              <w:pStyle w:val="Compact"/>
            </w:pPr>
            <w:r>
              <w:t xml:space="preserve">Market size uncertainty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29" w:name="_13d1360ef76ce27131d123ea95970cc5fad4d55"/>
      <w:r>
        <w:t xml:space="preserve">9. Exit Scenarios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Scenario</w:t>
            </w:r>
          </w:p>
        </w:tc>
        <w:tc>
          <w:tcPr/>
          <w:p>
            <w:pPr>
              <w:pStyle w:val="Compact"/>
            </w:pPr>
            <w:r>
              <w:t xml:space="preserve">Y5 Value (SAR M)</w:t>
            </w:r>
          </w:p>
        </w:tc>
        <w:tc>
          <w:tcPr/>
          <w:p>
            <w:pPr>
              <w:pStyle w:val="Compact"/>
            </w:pPr>
            <w:r>
              <w:t xml:space="preserve">Classification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Conservative Trade Sale</w:t>
            </w:r>
          </w:p>
        </w:tc>
        <w:tc>
          <w:tcPr/>
          <w:p>
            <w:pPr>
              <w:pStyle w:val="Compact"/>
            </w:pPr>
            <w:r>
              <w:t xml:space="preserve">385</w:t>
            </w:r>
          </w:p>
        </w:tc>
        <w:tc>
          <w:tcPr/>
          <w:p>
            <w:pPr>
              <w:pStyle w:val="Compact"/>
            </w:pPr>
            <w:r>
              <w:t xml:space="preserve">SCENARIO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Base Trade Sale</w:t>
            </w:r>
          </w:p>
        </w:tc>
        <w:tc>
          <w:tcPr/>
          <w:p>
            <w:pPr>
              <w:pStyle w:val="Compact"/>
            </w:pPr>
            <w:r>
              <w:t xml:space="preserve">616</w:t>
            </w:r>
          </w:p>
        </w:tc>
        <w:tc>
          <w:tcPr/>
          <w:p>
            <w:pPr>
              <w:pStyle w:val="Compact"/>
            </w:pPr>
            <w:r>
              <w:t xml:space="preserve">SCENARIO</w:t>
            </w:r>
          </w:p>
        </w:tc>
      </w:tr>
      <w:tr>
        <w:tc>
          <w:tcPr/>
          <w:p>
            <w:pPr>
              <w:pStyle w:val="Compact"/>
            </w:pPr>
            <w:r>
              <w:t xml:space="preserve">Aggressive Trade Sale</w:t>
            </w:r>
          </w:p>
        </w:tc>
        <w:tc>
          <w:tcPr/>
          <w:p>
            <w:pPr>
              <w:pStyle w:val="Compact"/>
            </w:pPr>
            <w:r>
              <w:t xml:space="preserve">800</w:t>
            </w:r>
          </w:p>
        </w:tc>
        <w:tc>
          <w:tcPr/>
          <w:p>
            <w:pPr>
              <w:pStyle w:val="Compact"/>
            </w:pPr>
            <w:r>
              <w:t xml:space="preserve">SCENARIO</w:t>
            </w:r>
          </w:p>
        </w:tc>
      </w:tr>
      <w:tr>
        <w:tc>
          <w:tcPr/>
          <w:p>
            <w:pPr>
              <w:pStyle w:val="Compact"/>
            </w:pPr>
            <w:r>
              <w:t xml:space="preserve">IPO</w:t>
            </w:r>
          </w:p>
        </w:tc>
        <w:tc>
          <w:tcPr/>
          <w:p>
            <w:pPr>
              <w:pStyle w:val="Compact"/>
            </w:pPr>
            <w:r>
              <w:t xml:space="preserve">1,500</w:t>
            </w:r>
          </w:p>
        </w:tc>
        <w:tc>
          <w:tcPr/>
          <w:p>
            <w:pPr>
              <w:pStyle w:val="Compact"/>
            </w:pPr>
            <w:r>
              <w:t xml:space="preserve">SCENARIO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Classification:</w:t>
      </w:r>
      <w:r>
        <w:t xml:space="preserve"> </w:t>
      </w:r>
      <w:r>
        <w:t xml:space="preserve">All scenarios are MANAGEMENT ASSUMPTION.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30" w:name="_disclaimer"/>
      <w:r>
        <w:t xml:space="preserve">10. Disclaimer</w:t>
      </w:r>
    </w:p>
    <w:p>
      <w:pPr>
        <w:pStyle w:val="FirstParagraph"/>
      </w:pPr>
      <w:r>
        <w:t xml:space="preserve">This memo does not constitute an investment recommendation. Investors must conduct independent due diligence.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HISN FCDOS — Where Trust Begins.</w:t>
      </w:r>
      <w:r>
        <w:t xml:space="preserve"> </w:t>
      </w:r>
      <w:r>
        <w:rPr>
          <w:i/>
          <w:iCs/>
        </w:rPr>
        <w:t xml:space="preserve">Confidential — Not for Distribution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134" w:bottom="1134" w:left="1134" w:header="283" w:footer="454" w:gutter="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Investor Relations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ajawal" w:hAnsi="Tajawal" w:cs="Tajawal"/>
      <w:color w:val="2C2C2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ajawal" w:hAnsi="Tajawal" w:cs="Tajawal"/>
      <w:b/>
      <w:bCs/>
      <w:color w:val="0A0A0A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ajawal" w:hAnsi="Tajawal" w:cs="Tajawal"/>
      <w:b/>
      <w:bCs/>
      <w:color w:val="0A0A0A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Tajawal" w:hAnsi="Tajawal" w:cs="Tajawal"/>
      <w:b/>
      <w:bCs/>
      <w:color w:val="0A0A0A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ajawal" w:hAnsi="Tajawal" w:cs="Tajawal"/>
      <w:b/>
      <w:color w:val="C9A45B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18" Type="http://schemas.openxmlformats.org/officeDocument/2006/relationships/numbering" Target="numbering.xml"/><Relationship Id="rId17" Type="http://schemas.openxmlformats.org/officeDocument/2006/relationships/styles" Target="styles.xml"/><Relationship Id="rId16" Type="http://schemas.openxmlformats.org/officeDocument/2006/relationships/settings" Target="settings.xml"/><Relationship Id="rId15" Type="http://schemas.openxmlformats.org/officeDocument/2006/relationships/webSettings" Target="webSettings.xml"/><Relationship Id="rId14" Type="http://schemas.openxmlformats.org/officeDocument/2006/relationships/fontTable" Target="fontTable.xml"/><Relationship Id="rId13" Type="http://schemas.openxmlformats.org/officeDocument/2006/relationships/theme" Target="theme/theme1.xml"/><Relationship Id="rId12" Type="http://schemas.openxmlformats.org/officeDocument/2006/relationships/footnotes" Target="footnotes.xml"/><Relationship Id="rId1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01 Investment Memo</dc:title>
  <dc:creator>HISN Platform</dc:creator>
  <cp:keywords>HISN, FCDOS, financial crime, decision operating system</cp:keywords>
  <dcterms:created xsi:type="dcterms:W3CDTF">2026-10-14T13:12:21Z</dcterms:created>
  <dcterms:modified xsi:type="dcterms:W3CDTF">2026-10-14T13:12:21Z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