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01_Valuation_Defense_Document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e4cc8299a3ce0a0828ae575c7261443f5fc3ae"/>
      <w:r>
        <w:t xml:space="preserve">VALUATION DEFENSE DOCUMENT</w:t>
      </w:r>
    </w:p>
    <w:p>
      <w:pPr>
        <w:pStyle w:val="FirstParagraph"/>
      </w:pPr>
      <w:r>
        <w:rPr>
          <w:b/>
          <w:bCs/>
        </w:rPr>
        <w:t xml:space="preserve">HISN FCDOS | Seed Round Valuation Defense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24178e17815d7ed05207769f6e2fdf5de730a75"/>
      <w:r>
        <w:t xml:space="preserve">1. Executive Summary</w:t>
      </w:r>
    </w:p>
    <w:p>
      <w:pPr>
        <w:pStyle w:val="FirstParagraph"/>
      </w:pPr>
      <w:r>
        <w:rPr>
          <w:b/>
          <w:bCs/>
        </w:rPr>
        <w:t xml:space="preserve">Selected Pre-Money:</w:t>
      </w:r>
      <w:r>
        <w:t xml:space="preserve"> </w:t>
      </w:r>
      <w:r>
        <w:t xml:space="preserve">SAR 30,000,000</w:t>
      </w:r>
      <w:r>
        <w:t xml:space="preserve"> </w:t>
      </w:r>
      <w:r>
        <w:rPr>
          <w:b/>
          <w:bCs/>
        </w:rPr>
        <w:t xml:space="preserve">Defense Position:</w:t>
      </w:r>
      <w:r>
        <w:t xml:space="preserve"> </w:t>
      </w:r>
      <w:r>
        <w:t xml:space="preserve">Conservative, defensible, and investor-aligned</w:t>
      </w:r>
      <w:r>
        <w:t xml:space="preserve"> </w:t>
      </w:r>
      <w:r>
        <w:rPr>
          <w:b/>
          <w:bCs/>
        </w:rPr>
        <w:t xml:space="preserve">Composite Range:</w:t>
      </w:r>
      <w:r>
        <w:t xml:space="preserve"> </w:t>
      </w:r>
      <w:r>
        <w:t xml:space="preserve">SAR 45M – 100M</w:t>
      </w:r>
      <w:r>
        <w:t xml:space="preserve"> </w:t>
      </w:r>
      <w:r>
        <w:rPr>
          <w:b/>
          <w:bCs/>
        </w:rPr>
        <w:t xml:space="preserve">Anchor = 17% of DCF base case</w:t>
      </w:r>
    </w:p>
    <w:p>
      <w:pPr>
        <w:pStyle w:val="BodyText"/>
      </w:pPr>
      <w:r>
        <w:t xml:space="preserve">The SAR 30M anchor is intentionally conservative relative to multiple triangulated methodologies, providing:</w:t>
      </w:r>
      <w:r>
        <w:t xml:space="preserve"> </w:t>
      </w:r>
      <w:r>
        <w:t xml:space="preserve">- Investor margin of safety</w:t>
      </w:r>
      <w:r>
        <w:t xml:space="preserve"> </w:t>
      </w:r>
      <w:r>
        <w:t xml:space="preserve">- Defensible rationale</w:t>
      </w:r>
      <w:r>
        <w:t xml:space="preserve"> </w:t>
      </w:r>
      <w:r>
        <w:t xml:space="preserve">- Space for Series A uplift</w:t>
      </w:r>
      <w:r>
        <w:t xml:space="preserve"> </w:t>
      </w:r>
      <w:r>
        <w:t xml:space="preserve">- Alignment with strategic investors</w:t>
      </w:r>
    </w:p>
    <w:p>
      <w:pPr>
        <w:pStyle w:val="Heading2"/>
      </w:pPr>
      <w:bookmarkStart w:id="11" w:name="_c365b74624f95144b66bb7f72832fcbeece6c45"/>
      <w:r>
        <w:t xml:space="preserve">2. Methodology Overview</w:t>
      </w:r>
    </w:p>
    <w:p>
      <w:pPr>
        <w:pStyle w:val="FirstParagraph"/>
      </w:pPr>
      <w:r>
        <w:t xml:space="preserve">Five methodologies triangulated: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Replacement Cost</w:t>
      </w:r>
      <w:r>
        <w:t xml:space="preserve"> </w:t>
      </w:r>
      <w:r>
        <w:t xml:space="preserve">— floor value (SAR 25-40M)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Technology &amp; IP Scorecard</w:t>
      </w:r>
      <w:r>
        <w:t xml:space="preserve"> </w:t>
      </w:r>
      <w:r>
        <w:t xml:space="preserve">— asset value (SAR 20-35M)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Market/Comparables</w:t>
      </w:r>
      <w:r>
        <w:t xml:space="preserve"> </w:t>
      </w:r>
      <w:r>
        <w:t xml:space="preserve">— market pricing (SAR 40-90M)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DCF</w:t>
      </w:r>
      <w:r>
        <w:t xml:space="preserve"> </w:t>
      </w:r>
      <w:r>
        <w:t xml:space="preserve">— intrinsic value (SAR 100-200M)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Precedent Transactions</w:t>
      </w:r>
      <w:r>
        <w:t xml:space="preserve"> </w:t>
      </w:r>
      <w:r>
        <w:t xml:space="preserve">— transaction pricing (SAR 60-120M)</w:t>
      </w:r>
    </w:p>
    <w:p>
      <w:pPr>
        <w:pStyle w:val="Heading2"/>
      </w:pPr>
      <w:bookmarkStart w:id="12" w:name="_1ba221c4a420d1abb899e69d86cf9f860b6999c"/>
      <w:r>
        <w:t xml:space="preserve">3. Methodology 1: Replacement Cost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What would it cost to rebuild HISN today?</w:t>
      </w:r>
    </w:p>
    <w:p>
      <w:pPr>
        <w:pStyle w:val="BodyText"/>
      </w:pPr>
      <w:r>
        <w:rPr>
          <w:b/>
          <w:bCs/>
        </w:rPr>
        <w:t xml:space="preserve">Components: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Value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Engineering hours (66,502 Python LOC @ SAR 200/hour)</w:t>
            </w:r>
          </w:p>
        </w:tc>
        <w:tc>
          <w:tcPr/>
          <w:p>
            <w:pPr>
              <w:pStyle w:val="Compact"/>
            </w:pPr>
            <w:r>
              <w:t xml:space="preserve">13,300,000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 R&amp;D (12 months senior)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 validation</w:t>
            </w:r>
          </w:p>
        </w:tc>
        <w:tc>
          <w:tcPr/>
          <w:p>
            <w:pPr>
              <w:pStyle w:val="Compac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(830 files)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+ compliance</w:t>
            </w:r>
          </w:p>
        </w:tc>
        <w:tc>
          <w:tcPr/>
          <w:p>
            <w:pPr>
              <w:pStyle w:val="Compac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infrastructure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Replacement Cost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23,800,000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Adjustment for time + risk:</w:t>
      </w:r>
      <w:r>
        <w:t xml:space="preserve"> </w:t>
      </w:r>
      <w:r>
        <w:t xml:space="preserve">- Time to replicate: 18-24 months</w:t>
      </w:r>
      <w:r>
        <w:t xml:space="preserve"> </w:t>
      </w:r>
      <w:r>
        <w:t xml:space="preserve">- Risk premium: +30%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Replacement Cost Range:</w:t>
      </w:r>
      <w:r>
        <w:t xml:space="preserve"> </w:t>
      </w:r>
      <w:r>
        <w:t xml:space="preserve">SAR 25,000,000 – 40,000,000</w:t>
      </w:r>
    </w:p>
    <w:p>
      <w:pPr>
        <w:pStyle w:val="Heading2"/>
      </w:pPr>
      <w:bookmarkStart w:id="13" w:name="_dc8f48169f85b9d774a7a731e1d9d8185632094"/>
      <w:r>
        <w:t xml:space="preserve">4. Methodology 2: Technology &amp; IP Scorecard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Score the technical asset against institutional benchmarks.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Score (1-5)</w:t>
            </w:r>
          </w:p>
        </w:tc>
        <w:tc>
          <w:tcPr/>
          <w:p>
            <w:pPr>
              <w:pStyle w:val="Compact"/>
            </w:pPr>
            <w:r>
              <w:t xml:space="preserve">Weighted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 quality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coverage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posture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depth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 validation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portfolio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0.30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capability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Score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4.40 / 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Value:</w:t>
      </w:r>
      <w:r>
        <w:t xml:space="preserve"> </w:t>
      </w:r>
      <w:r>
        <w:t xml:space="preserve">4.40 / 5 × SAR 25M base = SAR 22M</w:t>
      </w:r>
    </w:p>
    <w:p>
      <w:pPr>
        <w:pStyle w:val="BodyText"/>
      </w:pPr>
      <w:r>
        <w:rPr>
          <w:b/>
          <w:bCs/>
        </w:rPr>
        <w:t xml:space="preserve">Premium for rare capabilities (Decision DNA, RLS):</w:t>
      </w:r>
      <w:r>
        <w:t xml:space="preserve"> </w:t>
      </w:r>
      <w:r>
        <w:t xml:space="preserve">+30%</w:t>
      </w:r>
    </w:p>
    <w:p>
      <w:pPr>
        <w:pStyle w:val="BodyText"/>
      </w:pPr>
      <w:r>
        <w:rPr>
          <w:b/>
          <w:bCs/>
        </w:rPr>
        <w:t xml:space="preserve">IP Scorecard Range:</w:t>
      </w:r>
      <w:r>
        <w:t xml:space="preserve"> </w:t>
      </w:r>
      <w:r>
        <w:t xml:space="preserve">SAR 20M – 35M</w:t>
      </w:r>
    </w:p>
    <w:p>
      <w:pPr>
        <w:pStyle w:val="Heading2"/>
      </w:pPr>
      <w:bookmarkStart w:id="14" w:name="_bbdaba8090745d64003fb86babbe85fad9b64c3"/>
      <w:r>
        <w:t xml:space="preserve">5. Methodology 3: Market/Comparables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Compare with public and disclosed private rounds.</w:t>
      </w:r>
    </w:p>
    <w:p>
      <w:pPr>
        <w:pStyle w:val="Heading3"/>
      </w:pPr>
      <w:bookmarkStart w:id="15" w:name="_61c7e7e5b6e95a47960be86508fc9bce513fba5"/>
      <w:r>
        <w:t xml:space="preserve">Public Comparables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EV/Revenue</w:t>
            </w:r>
          </w:p>
        </w:tc>
        <w:tc>
          <w:tcPr/>
          <w:p>
            <w:pPr>
              <w:pStyle w:val="Compact"/>
            </w:pPr>
            <w:r>
              <w:t xml:space="preserve">Gross Margin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</w:t>
            </w:r>
          </w:p>
        </w:tc>
        <w:tc>
          <w:tcPr/>
          <w:p>
            <w:pPr>
              <w:pStyle w:val="Compact"/>
            </w:pPr>
            <w:r>
              <w:t xml:space="preserve">6.3x</w:t>
            </w:r>
          </w:p>
        </w:tc>
        <w:tc>
          <w:tcPr/>
          <w:p>
            <w:pPr>
              <w:pStyle w:val="Compact"/>
            </w:pPr>
            <w:r>
              <w:t xml:space="preserve">70%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FICO</w:t>
            </w:r>
          </w:p>
        </w:tc>
        <w:tc>
          <w:tcPr/>
          <w:p>
            <w:pPr>
              <w:pStyle w:val="Compact"/>
            </w:pPr>
            <w:r>
              <w:t xml:space="preserve">26.5x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</w:t>
            </w:r>
          </w:p>
        </w:tc>
        <w:tc>
          <w:tcPr/>
          <w:p>
            <w:pPr>
              <w:pStyle w:val="Compact"/>
            </w:pPr>
            <w:r>
              <w:t xml:space="preserve">12.5x</w:t>
            </w:r>
          </w:p>
        </w:tc>
        <w:tc>
          <w:tcPr/>
          <w:p>
            <w:pPr>
              <w:pStyle w:val="Compact"/>
            </w:pPr>
            <w:r>
              <w:t xml:space="preserve">65%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Salesforce</w:t>
            </w:r>
          </w:p>
        </w:tc>
        <w:tc>
          <w:tcPr/>
          <w:p>
            <w:pPr>
              <w:pStyle w:val="Compact"/>
            </w:pPr>
            <w:r>
              <w:t xml:space="preserve">7.4x</w:t>
            </w:r>
          </w:p>
        </w:tc>
        <w:tc>
          <w:tcPr/>
          <w:p>
            <w:pPr>
              <w:pStyle w:val="Compact"/>
            </w:pPr>
            <w:r>
              <w:t xml:space="preserve">75%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Workday</w:t>
            </w:r>
          </w:p>
        </w:tc>
        <w:tc>
          <w:tcPr/>
          <w:p>
            <w:pPr>
              <w:pStyle w:val="Compact"/>
            </w:pPr>
            <w:r>
              <w:t xml:space="preserve">8.7x</w:t>
            </w:r>
          </w:p>
        </w:tc>
        <w:tc>
          <w:tcPr/>
          <w:p>
            <w:pPr>
              <w:pStyle w:val="Compact"/>
            </w:pPr>
            <w:r>
              <w:t xml:space="preserve">75%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Median EV/Rev:</w:t>
      </w:r>
      <w:r>
        <w:t xml:space="preserve"> </w:t>
      </w:r>
      <w:r>
        <w:t xml:space="preserve">8.7x</w:t>
      </w:r>
    </w:p>
    <w:p>
      <w:pPr>
        <w:pStyle w:val="Heading3"/>
      </w:pPr>
      <w:bookmarkStart w:id="16" w:name="_239237b7ea15a4b599255d8ade2192023001642"/>
      <w:r>
        <w:t xml:space="preserve">RegTech Comparables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Chainalysis</w:t>
            </w:r>
          </w:p>
        </w:tc>
        <w:tc>
          <w:tcPr/>
          <w:p>
            <w:pPr>
              <w:pStyle w:val="Compact"/>
            </w:pPr>
            <w:r>
              <w:t xml:space="preserve">43x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10x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12x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14x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Median RegTech:</w:t>
      </w:r>
      <w:r>
        <w:t xml:space="preserve"> </w:t>
      </w:r>
      <w:r>
        <w:t xml:space="preserve">12x</w:t>
      </w:r>
    </w:p>
    <w:p>
      <w:pPr>
        <w:pStyle w:val="Heading3"/>
      </w:pPr>
      <w:bookmarkStart w:id="17" w:name="_9f3e58ce112f962eb5c8058e6d05f311e5b13ba"/>
      <w:r>
        <w:t xml:space="preserve">Application to HISN</w:t>
      </w:r>
    </w:p>
    <w:p>
      <w:pPr>
        <w:pStyle w:val="FirstParagraph"/>
      </w:pPr>
      <w:r>
        <w:rPr>
          <w:b/>
          <w:bCs/>
        </w:rPr>
        <w:t xml:space="preserve">Y3 Forward Revenue:</w:t>
      </w:r>
      <w:r>
        <w:t xml:space="preserve"> </w:t>
      </w:r>
      <w:r>
        <w:t xml:space="preserve">SAR 13M</w:t>
      </w:r>
      <w:r>
        <w:t xml:space="preserve"> </w:t>
      </w:r>
      <w:r>
        <w:rPr>
          <w:b/>
          <w:bCs/>
        </w:rPr>
        <w:t xml:space="preserve">Applied Multiple:</w:t>
      </w:r>
      <w:r>
        <w:t xml:space="preserve"> </w:t>
      </w:r>
      <w:r>
        <w:t xml:space="preserve">4-7x (discounted for early stage)</w:t>
      </w:r>
    </w:p>
    <w:p>
      <w:pPr>
        <w:pStyle w:val="BodyText"/>
      </w:pPr>
      <w:r>
        <w:rPr>
          <w:b/>
          <w:bCs/>
        </w:rPr>
        <w:t xml:space="preserve">Market Comps Range:</w:t>
      </w:r>
      <w:r>
        <w:t xml:space="preserve"> </w:t>
      </w:r>
      <w:r>
        <w:t xml:space="preserve">SAR 40M – 90M</w:t>
      </w:r>
    </w:p>
    <w:p>
      <w:pPr>
        <w:pStyle w:val="Heading2"/>
      </w:pPr>
      <w:bookmarkStart w:id="18" w:name="_ec382b2a881fbaea635ab8a2d69b44ed8d69209"/>
      <w:r>
        <w:t xml:space="preserve">6. Methodology 4: DCF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Discount future cash flows.</w:t>
      </w:r>
    </w:p>
    <w:p>
      <w:pPr>
        <w:pStyle w:val="BodyText"/>
      </w:pPr>
      <w:r>
        <w:rPr>
          <w:b/>
          <w:bCs/>
        </w:rPr>
        <w:t xml:space="preserve">Assumptions:</w:t>
      </w:r>
      <w:r>
        <w:t xml:space="preserve"> </w:t>
      </w:r>
      <w:r>
        <w:t xml:space="preserve">- WACC: 25%</w:t>
      </w:r>
      <w:r>
        <w:t xml:space="preserve"> </w:t>
      </w:r>
      <w:r>
        <w:t xml:space="preserve">- Terminal growth: 3%</w:t>
      </w:r>
      <w:r>
        <w:t xml:space="preserve"> </w:t>
      </w:r>
      <w:r>
        <w:t xml:space="preserve">- Exit multiple: 8x Y5 revenue</w:t>
      </w:r>
    </w:p>
    <w:p>
      <w:pPr>
        <w:pStyle w:val="BodyText"/>
      </w:pPr>
      <w:r>
        <w:rPr>
          <w:b/>
          <w:bCs/>
        </w:rPr>
        <w:t xml:space="preserve">Base Case DCF:</w:t>
      </w:r>
      <w:r>
        <w:t xml:space="preserve"> </w:t>
      </w:r>
      <w:r>
        <w:t xml:space="preserve">SAR 178M</w:t>
      </w:r>
    </w:p>
    <w:p>
      <w:pPr>
        <w:pStyle w:val="BodyText"/>
      </w:pPr>
      <w:r>
        <w:rPr>
          <w:b/>
          <w:bCs/>
        </w:rPr>
        <w:t xml:space="preserve">Sensitivity:</w:t>
      </w:r>
      <w:r>
        <w:t xml:space="preserve"> </w:t>
      </w:r>
      <w:r>
        <w:t xml:space="preserve">| WACC | Exit Multiple | Value (SAR M) |</w:t>
      </w:r>
      <w:r>
        <w:t xml:space="preserve"> </w:t>
      </w:r>
      <w:r>
        <w:t xml:space="preserve">|—|—|—|</w:t>
      </w:r>
      <w:r>
        <w:t xml:space="preserve"> </w:t>
      </w:r>
      <w:r>
        <w:t xml:space="preserve">| 20% | 8x | 196 |</w:t>
      </w:r>
      <w:r>
        <w:t xml:space="preserve"> </w:t>
      </w:r>
      <w:r>
        <w:t xml:space="preserve">| 25% | 8x | 178 |</w:t>
      </w:r>
      <w:r>
        <w:t xml:space="preserve"> </w:t>
      </w:r>
      <w:r>
        <w:t xml:space="preserve">| 30% | 8x | 127 |</w:t>
      </w:r>
      <w:r>
        <w:t xml:space="preserve"> </w:t>
      </w:r>
      <w:r>
        <w:t xml:space="preserve">| 35% | 8x | 103 |</w:t>
      </w:r>
    </w:p>
    <w:p>
      <w:pPr>
        <w:pStyle w:val="BodyText"/>
      </w:pPr>
      <w:r>
        <w:rPr>
          <w:b/>
          <w:bCs/>
        </w:rPr>
        <w:t xml:space="preserve">DCF Range:</w:t>
      </w:r>
      <w:r>
        <w:t xml:space="preserve"> </w:t>
      </w:r>
      <w:r>
        <w:t xml:space="preserve">SAR 100M – 200M</w:t>
      </w:r>
    </w:p>
    <w:p>
      <w:pPr>
        <w:pStyle w:val="Heading2"/>
      </w:pPr>
      <w:bookmarkStart w:id="19" w:name="_57737a42e4cd5fe62c8227c03d805e5489691bd"/>
      <w:r>
        <w:t xml:space="preserve">7. Methodology 5: Precedent Transactions</w:t>
      </w:r>
    </w:p>
    <w:p>
      <w:pPr>
        <w:pStyle w:val="FirstParagraph"/>
      </w:pPr>
      <w:r>
        <w:rPr>
          <w:b/>
          <w:bCs/>
        </w:rPr>
        <w:t xml:space="preserve">Median RegTech M&amp;A:</w:t>
      </w:r>
      <w:r>
        <w:t xml:space="preserve"> </w:t>
      </w:r>
      <w:r>
        <w:t xml:space="preserve">15x revenue</w:t>
      </w:r>
    </w:p>
    <w:p>
      <w:pPr>
        <w:pStyle w:val="BodyText"/>
      </w:pPr>
      <w:r>
        <w:rPr>
          <w:b/>
          <w:bCs/>
        </w:rPr>
        <w:t xml:space="preserve">Applied to HISN Y5 revenue (SAR 77M):</w:t>
      </w:r>
      <w:r>
        <w:t xml:space="preserve"> </w:t>
      </w:r>
      <w:r>
        <w:t xml:space="preserve">- 5x = SAR 385M</w:t>
      </w:r>
      <w:r>
        <w:t xml:space="preserve"> </w:t>
      </w:r>
      <w:r>
        <w:t xml:space="preserve">- 8x = SAR 616M</w:t>
      </w:r>
      <w:r>
        <w:t xml:space="preserve"> </w:t>
      </w:r>
      <w:r>
        <w:t xml:space="preserve">- 15x = SAR 1,155M</w:t>
      </w:r>
    </w:p>
    <w:p>
      <w:pPr>
        <w:pStyle w:val="BodyText"/>
      </w:pPr>
      <w:r>
        <w:rPr>
          <w:b/>
          <w:bCs/>
        </w:rPr>
        <w:t xml:space="preserve">Present value (discounted at 25% for 5 years):</w:t>
      </w:r>
      <w:r>
        <w:t xml:space="preserve"> </w:t>
      </w:r>
      <w:r>
        <w:t xml:space="preserve">SAR 60M – 120M</w:t>
      </w:r>
    </w:p>
    <w:p>
      <w:pPr>
        <w:pStyle w:val="Heading2"/>
      </w:pPr>
      <w:bookmarkStart w:id="20" w:name="_triangulation"/>
      <w:r>
        <w:t xml:space="preserve">8. Triangulation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Range (SAR M)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Weighted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</w:t>
            </w:r>
          </w:p>
        </w:tc>
        <w:tc>
          <w:tcPr/>
          <w:p>
            <w:pPr>
              <w:pStyle w:val="Compact"/>
            </w:pPr>
            <w:r>
              <w:t xml:space="preserve">25-40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3.25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Scorecard</w:t>
            </w:r>
          </w:p>
        </w:tc>
        <w:tc>
          <w:tcPr/>
          <w:p>
            <w:pPr>
              <w:pStyle w:val="Compact"/>
            </w:pPr>
            <w:r>
              <w:t xml:space="preserve">20-35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5.50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Comps</w:t>
            </w:r>
          </w:p>
        </w:tc>
        <w:tc>
          <w:tcPr/>
          <w:p>
            <w:pPr>
              <w:pStyle w:val="Compact"/>
            </w:pPr>
            <w:r>
              <w:t xml:space="preserve">40-90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19.50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</w:t>
            </w:r>
          </w:p>
        </w:tc>
        <w:tc>
          <w:tcPr/>
          <w:p>
            <w:pPr>
              <w:pStyle w:val="Compact"/>
            </w:pPr>
            <w:r>
              <w:t xml:space="preserve">100-200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37.50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 Tx</w:t>
            </w:r>
          </w:p>
        </w:tc>
        <w:tc>
          <w:tcPr/>
          <w:p>
            <w:pPr>
              <w:pStyle w:val="Compact"/>
            </w:pPr>
            <w:r>
              <w:t xml:space="preserve">60-120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13.50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Composite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79.25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Defensible Range:</w:t>
      </w:r>
      <w:r>
        <w:t xml:space="preserve"> </w:t>
      </w:r>
      <w:r>
        <w:t xml:space="preserve">SAR 45M – 100M</w:t>
      </w:r>
    </w:p>
    <w:p>
      <w:pPr>
        <w:pStyle w:val="Heading2"/>
      </w:pPr>
      <w:bookmarkStart w:id="21" w:name="_38f13cd19933baea1d047bb9fef16370811ec5c"/>
      <w:r>
        <w:t xml:space="preserve">9. Anchor Selection Rationale</w:t>
      </w:r>
    </w:p>
    <w:p>
      <w:pPr>
        <w:pStyle w:val="FirstParagraph"/>
      </w:pPr>
      <w:r>
        <w:rPr>
          <w:b/>
          <w:bCs/>
        </w:rPr>
        <w:t xml:space="preserve">Selected Anchor:</w:t>
      </w:r>
      <w:r>
        <w:t xml:space="preserve"> </w:t>
      </w:r>
      <w:r>
        <w:t xml:space="preserve">SAR 30M</w:t>
      </w:r>
    </w:p>
    <w:p>
      <w:pPr>
        <w:pStyle w:val="BodyText"/>
      </w:pPr>
      <w:r>
        <w:rPr>
          <w:b/>
          <w:bCs/>
        </w:rPr>
        <w:t xml:space="preserve">Why Below Composite: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Early-stage discount:</w:t>
      </w:r>
      <w:r>
        <w:t xml:space="preserve"> </w:t>
      </w:r>
      <w:r>
        <w:t xml:space="preserve">Pre-revenue, no customers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Execution risk:</w:t>
      </w:r>
      <w:r>
        <w:t xml:space="preserve"> </w:t>
      </w:r>
      <w:r>
        <w:t xml:space="preserve">Milestones not yet proven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Investor alignment:</w:t>
      </w:r>
      <w:r>
        <w:t xml:space="preserve"> </w:t>
      </w:r>
      <w:r>
        <w:t xml:space="preserve">Lower entry = higher returns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Series A space:</w:t>
      </w:r>
      <w:r>
        <w:t xml:space="preserve"> </w:t>
      </w:r>
      <w:r>
        <w:t xml:space="preserve">Room for future uplift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Strategic positioning:</w:t>
      </w:r>
      <w:r>
        <w:t xml:space="preserve"> </w:t>
      </w:r>
      <w:r>
        <w:t xml:space="preserve">Attract value-add investors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Market reality:</w:t>
      </w:r>
      <w:r>
        <w:t xml:space="preserve"> </w:t>
      </w:r>
      <w:r>
        <w:t xml:space="preserve">KSA early-stage benchmarks</w:t>
      </w:r>
    </w:p>
    <w:p>
      <w:pPr>
        <w:pStyle w:val="FirstParagraph"/>
      </w:pPr>
      <w:r>
        <w:rPr>
          <w:b/>
          <w:bCs/>
        </w:rPr>
        <w:t xml:space="preserve">Anchor vs Comparable KSA Rounds:</w:t>
      </w:r>
      <w:r>
        <w:t xml:space="preserve"> </w:t>
      </w:r>
      <w:r>
        <w:t xml:space="preserve">- Typical KSA Seed: SAR 15-30M</w:t>
      </w:r>
      <w:r>
        <w:t xml:space="preserve"> </w:t>
      </w:r>
      <w:r>
        <w:t xml:space="preserve">- HISN anchor: At top of range (justified by asset)</w:t>
      </w:r>
    </w:p>
    <w:p>
      <w:pPr>
        <w:pStyle w:val="Heading2"/>
      </w:pPr>
      <w:bookmarkStart w:id="22" w:name="_9a51345dc80a24a8b4dbadd1111aca72e71a2ac"/>
      <w:r>
        <w:t xml:space="preserve">10. Downside Protection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 floor</w:t>
            </w:r>
          </w:p>
        </w:tc>
        <w:tc>
          <w:tcPr/>
          <w:p>
            <w:pPr>
              <w:pStyle w:val="Compact"/>
            </w:pPr>
            <w:r>
              <w:t xml:space="preserve">SAR 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preference</w:t>
            </w:r>
          </w:p>
        </w:tc>
        <w:tc>
          <w:tcPr/>
          <w:p>
            <w:pPr>
              <w:pStyle w:val="Compact"/>
            </w:pPr>
            <w:r>
              <w:t xml:space="preserve">1x (SAR 7.5M)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Pro-rata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</w:tbl>
    <w:p>
      <w:pPr>
        <w:pStyle w:val="Heading2"/>
      </w:pPr>
      <w:bookmarkStart w:id="23" w:name="_805fbaa19c61292fbda27c410ce68ba21ea7cb1"/>
      <w:r>
        <w:t xml:space="preserve">11. Upside 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Valuation Uplift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paid pilot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customer</w:t>
            </w:r>
          </w:p>
        </w:tc>
        <w:tc>
          <w:tcPr/>
          <w:p>
            <w:pPr>
              <w:pStyle w:val="Compact"/>
            </w:pPr>
            <w:r>
              <w:t xml:space="preserve">+50%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lead committed</w:t>
            </w:r>
          </w:p>
        </w:tc>
        <w:tc>
          <w:tcPr/>
          <w:p>
            <w:pPr>
              <w:pStyle w:val="Compact"/>
            </w:pPr>
            <w:r>
              <w:t xml:space="preserve">+100%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Multi-year contract</w:t>
            </w:r>
          </w:p>
        </w:tc>
        <w:tc>
          <w:tcPr/>
          <w:p>
            <w:pPr>
              <w:pStyle w:val="Compact"/>
            </w:pPr>
            <w:r>
              <w:t xml:space="preserve">+30%</w:t>
            </w:r>
          </w:p>
        </w:tc>
      </w:tr>
    </w:tbl>
    <w:p>
      <w:pPr>
        <w:pStyle w:val="Heading2"/>
      </w:pPr>
      <w:bookmarkStart w:id="24" w:name="_813f49021c526d18db7fd4dd3a1fa3cab99ec1f"/>
      <w:r>
        <w:t xml:space="preserve">12. Benchmark vs Global SaaS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  <w:tc>
          <w:tcPr/>
          <w:p>
            <w:pPr>
              <w:pStyle w:val="Compact"/>
            </w:pPr>
            <w:r>
              <w:t xml:space="preserve">Global SaaS Median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multiple</w:t>
            </w:r>
          </w:p>
        </w:tc>
        <w:tc>
          <w:tcPr/>
          <w:p>
            <w:pPr>
              <w:pStyle w:val="Compact"/>
            </w:pPr>
            <w:r>
              <w:t xml:space="preserve">2.3x Y3</w:t>
            </w:r>
          </w:p>
        </w:tc>
        <w:tc>
          <w:tcPr/>
          <w:p>
            <w:pPr>
              <w:pStyle w:val="Compact"/>
            </w:pPr>
            <w:r>
              <w:t xml:space="preserve">8.7x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 multiple</w:t>
            </w:r>
          </w:p>
        </w:tc>
        <w:tc>
          <w:tcPr/>
          <w:p>
            <w:pPr>
              <w:pStyle w:val="Compact"/>
            </w:pPr>
            <w:r>
              <w:t xml:space="preserve">39x Y1</w:t>
            </w:r>
          </w:p>
        </w:tc>
        <w:tc>
          <w:tcPr/>
          <w:p>
            <w:pPr>
              <w:pStyle w:val="Compact"/>
            </w:pPr>
            <w:r>
              <w:t xml:space="preserve">6-10x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Growth rate</w:t>
            </w:r>
          </w:p>
        </w:tc>
        <w:tc>
          <w:tcPr/>
          <w:p>
            <w:pPr>
              <w:pStyle w:val="Compact"/>
            </w:pPr>
            <w:r>
              <w:t xml:space="preserve">200%+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75%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HISN entry multiple is significantly below global SaaS comparables.</w:t>
      </w:r>
    </w:p>
    <w:p>
      <w:pPr>
        <w:pStyle w:val="Heading2"/>
      </w:pPr>
      <w:bookmarkStart w:id="25" w:name="_conclusion"/>
      <w:r>
        <w:t xml:space="preserve">13. Conclusion</w:t>
      </w:r>
    </w:p>
    <w:p>
      <w:pPr>
        <w:pStyle w:val="FirstParagraph"/>
      </w:pPr>
      <w:r>
        <w:rPr>
          <w:b/>
          <w:bCs/>
        </w:rPr>
        <w:t xml:space="preserve">SAR 30M pre-money is:</w:t>
      </w:r>
      <w:r>
        <w:t xml:space="preserve"> </w:t>
      </w:r>
      <w:r>
        <w:t xml:space="preserve">- Defensible via multiple methodologies</w:t>
      </w:r>
      <w:r>
        <w:t xml:space="preserve"> </w:t>
      </w:r>
      <w:r>
        <w:t xml:space="preserve">- Conservative relative to composite</w:t>
      </w:r>
      <w:r>
        <w:t xml:space="preserve"> </w:t>
      </w:r>
      <w:r>
        <w:t xml:space="preserve">- Attractive for strategic investors</w:t>
      </w:r>
      <w:r>
        <w:t xml:space="preserve"> </w:t>
      </w:r>
      <w:r>
        <w:t xml:space="preserve">- Aligned with KSA early-stage market</w:t>
      </w:r>
      <w:r>
        <w:t xml:space="preserve"> </w:t>
      </w:r>
      <w:r>
        <w:t xml:space="preserve">- Positioned for Series A uplift</w:t>
      </w:r>
    </w:p>
    <w:p>
      <w:pPr>
        <w:pStyle w:val="BodyText"/>
      </w:pPr>
      <w:r>
        <w:rPr>
          <w:b/>
          <w:bCs/>
        </w:rPr>
        <w:t xml:space="preserve">Recommendation:</w:t>
      </w:r>
      <w:r>
        <w:t xml:space="preserve"> </w:t>
      </w:r>
      <w:r>
        <w:t xml:space="preserve">Accept SAR 30M as anchor; negotiate within SAR 27.5M – 32.5M range.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document is management’s view for negotiation. Not a fairness opinion or valuation certificate.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Valuation Defense Document</dc:title>
  <dc:creator>HISN Platform</dc:creator>
  <cp:keywords>HISN, FCDOS, financial crime, decision operating system</cp:keywords>
  <dcterms:created xsi:type="dcterms:W3CDTF">2026-10-14T09:43:12Z</dcterms:created>
  <dcterms:modified xsi:type="dcterms:W3CDTF">2026-10-14T09:43:12Z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