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02_Audit_Readiness_Checklist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a31ab21fed647f8dedd6614670ca04a20d63fe8"/>
      <w:r>
        <w:t xml:space="preserve">AUDIT READINESS CHECKLIST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277e91f80be62bcc1d4d41138d65b9bd84b0676"/>
      <w:r>
        <w:t xml:space="preserve">1. Corporate Records</w:t>
      </w:r>
    </w:p>
    <w:p>
      <w:pPr>
        <w:pStyle w:val="Compact"/>
        <w:numPr>
          <w:ilvl w:val="0"/>
          <w:numId w:val="1001"/>
        </w:numPr>
      </w:pPr>
      <w:r>
        <w:t xml:space="preserve">Articles of Association (current)</w:t>
      </w:r>
    </w:p>
    <w:p>
      <w:pPr>
        <w:pStyle w:val="Compact"/>
        <w:numPr>
          <w:ilvl w:val="0"/>
          <w:numId w:val="1002"/>
        </w:numPr>
      </w:pPr>
      <w:r>
        <w:t xml:space="preserve">Commercial Registration</w:t>
      </w:r>
    </w:p>
    <w:p>
      <w:pPr>
        <w:pStyle w:val="Compact"/>
        <w:numPr>
          <w:ilvl w:val="0"/>
          <w:numId w:val="1003"/>
        </w:numPr>
      </w:pPr>
      <w:r>
        <w:t xml:space="preserve">MISA license (if applicable)</w:t>
      </w:r>
    </w:p>
    <w:p>
      <w:pPr>
        <w:pStyle w:val="Compact"/>
        <w:numPr>
          <w:ilvl w:val="0"/>
          <w:numId w:val="1004"/>
        </w:numPr>
      </w:pPr>
      <w:r>
        <w:t xml:space="preserve">Board minutes (all meetings)</w:t>
      </w:r>
    </w:p>
    <w:p>
      <w:pPr>
        <w:pStyle w:val="Compact"/>
        <w:numPr>
          <w:ilvl w:val="0"/>
          <w:numId w:val="1005"/>
        </w:numPr>
      </w:pPr>
      <w:r>
        <w:t xml:space="preserve">Shareholder resolutions</w:t>
      </w:r>
    </w:p>
    <w:p>
      <w:pPr>
        <w:pStyle w:val="Compact"/>
        <w:numPr>
          <w:ilvl w:val="0"/>
          <w:numId w:val="1006"/>
        </w:numPr>
      </w:pPr>
      <w:r>
        <w:t xml:space="preserve">Shareholder register</w:t>
      </w:r>
    </w:p>
    <w:p>
      <w:pPr>
        <w:pStyle w:val="Compact"/>
        <w:numPr>
          <w:ilvl w:val="0"/>
          <w:numId w:val="1007"/>
        </w:numPr>
      </w:pPr>
      <w:r>
        <w:t xml:space="preserve">Cap table (fully diluted)</w:t>
      </w:r>
    </w:p>
    <w:p>
      <w:pPr>
        <w:pStyle w:val="Compact"/>
        <w:numPr>
          <w:ilvl w:val="0"/>
          <w:numId w:val="1008"/>
        </w:numPr>
      </w:pPr>
      <w:r>
        <w:t xml:space="preserve">Option agreements (if any)</w:t>
      </w:r>
    </w:p>
    <w:p>
      <w:pPr>
        <w:pStyle w:val="Compact"/>
        <w:numPr>
          <w:ilvl w:val="0"/>
          <w:numId w:val="1009"/>
        </w:numPr>
      </w:pPr>
      <w:r>
        <w:t xml:space="preserve">SAFE/convertible documents (if any)</w:t>
      </w:r>
    </w:p>
    <w:p>
      <w:pPr>
        <w:pStyle w:val="Compact"/>
        <w:numPr>
          <w:ilvl w:val="0"/>
          <w:numId w:val="1010"/>
        </w:numPr>
      </w:pPr>
      <w:r>
        <w:t xml:space="preserve">Share certificates issued</w:t>
      </w:r>
    </w:p>
    <w:p>
      <w:pPr>
        <w:pStyle w:val="Heading2"/>
      </w:pPr>
      <w:bookmarkStart w:id="11" w:name="_8f64394fded39b340729a8a0af101077e414b51"/>
      <w:r>
        <w:t xml:space="preserve">2. Financial Records</w:t>
      </w:r>
    </w:p>
    <w:p>
      <w:pPr>
        <w:pStyle w:val="Compact"/>
        <w:numPr>
          <w:ilvl w:val="0"/>
          <w:numId w:val="1011"/>
        </w:numPr>
      </w:pPr>
      <w:r>
        <w:t xml:space="preserve">Chart of accounts</w:t>
      </w:r>
    </w:p>
    <w:p>
      <w:pPr>
        <w:pStyle w:val="Compact"/>
        <w:numPr>
          <w:ilvl w:val="0"/>
          <w:numId w:val="1012"/>
        </w:numPr>
      </w:pPr>
      <w:r>
        <w:t xml:space="preserve">General ledger (reconciled)</w:t>
      </w:r>
    </w:p>
    <w:p>
      <w:pPr>
        <w:pStyle w:val="Compact"/>
        <w:numPr>
          <w:ilvl w:val="0"/>
          <w:numId w:val="1013"/>
        </w:numPr>
      </w:pPr>
      <w:r>
        <w:t xml:space="preserve">Bank reconciliations (monthly)</w:t>
      </w:r>
    </w:p>
    <w:p>
      <w:pPr>
        <w:pStyle w:val="Compact"/>
        <w:numPr>
          <w:ilvl w:val="0"/>
          <w:numId w:val="1014"/>
        </w:numPr>
      </w:pPr>
      <w:r>
        <w:t xml:space="preserve">AR aging</w:t>
      </w:r>
    </w:p>
    <w:p>
      <w:pPr>
        <w:pStyle w:val="Compact"/>
        <w:numPr>
          <w:ilvl w:val="0"/>
          <w:numId w:val="1015"/>
        </w:numPr>
      </w:pPr>
      <w:r>
        <w:t xml:space="preserve">AP aging</w:t>
      </w:r>
    </w:p>
    <w:p>
      <w:pPr>
        <w:pStyle w:val="Compact"/>
        <w:numPr>
          <w:ilvl w:val="0"/>
          <w:numId w:val="1016"/>
        </w:numPr>
      </w:pPr>
      <w:r>
        <w:t xml:space="preserve">Fixed asset register</w:t>
      </w:r>
    </w:p>
    <w:p>
      <w:pPr>
        <w:pStyle w:val="Compact"/>
        <w:numPr>
          <w:ilvl w:val="0"/>
          <w:numId w:val="1017"/>
        </w:numPr>
      </w:pPr>
      <w:r>
        <w:t xml:space="preserve">Depreciation schedule</w:t>
      </w:r>
    </w:p>
    <w:p>
      <w:pPr>
        <w:pStyle w:val="Compact"/>
        <w:numPr>
          <w:ilvl w:val="0"/>
          <w:numId w:val="1018"/>
        </w:numPr>
      </w:pPr>
      <w:r>
        <w:t xml:space="preserve">Payroll register</w:t>
      </w:r>
    </w:p>
    <w:p>
      <w:pPr>
        <w:pStyle w:val="Compact"/>
        <w:numPr>
          <w:ilvl w:val="0"/>
          <w:numId w:val="1019"/>
        </w:numPr>
      </w:pPr>
      <w:r>
        <w:t xml:space="preserve">Expense reports</w:t>
      </w:r>
    </w:p>
    <w:p>
      <w:pPr>
        <w:pStyle w:val="Compact"/>
        <w:numPr>
          <w:ilvl w:val="0"/>
          <w:numId w:val="1020"/>
        </w:numPr>
      </w:pPr>
      <w:r>
        <w:t xml:space="preserve">Invoice documentation</w:t>
      </w:r>
    </w:p>
    <w:p>
      <w:pPr>
        <w:pStyle w:val="Heading2"/>
      </w:pPr>
      <w:bookmarkStart w:id="12" w:name="_aff54b746e8d062565fd0cdcb3b6c905983d887"/>
      <w:r>
        <w:t xml:space="preserve">3. Tax Records</w:t>
      </w:r>
    </w:p>
    <w:p>
      <w:pPr>
        <w:pStyle w:val="Compact"/>
        <w:numPr>
          <w:ilvl w:val="0"/>
          <w:numId w:val="1021"/>
        </w:numPr>
      </w:pPr>
      <w:r>
        <w:t xml:space="preserve">VAT returns</w:t>
      </w:r>
    </w:p>
    <w:p>
      <w:pPr>
        <w:pStyle w:val="Compact"/>
        <w:numPr>
          <w:ilvl w:val="0"/>
          <w:numId w:val="1022"/>
        </w:numPr>
      </w:pPr>
      <w:r>
        <w:t xml:space="preserve">VAT registration certificate</w:t>
      </w:r>
    </w:p>
    <w:p>
      <w:pPr>
        <w:pStyle w:val="Compact"/>
        <w:numPr>
          <w:ilvl w:val="0"/>
          <w:numId w:val="1023"/>
        </w:numPr>
      </w:pPr>
      <w:r>
        <w:t xml:space="preserve">WHT returns</w:t>
      </w:r>
    </w:p>
    <w:p>
      <w:pPr>
        <w:pStyle w:val="Compact"/>
        <w:numPr>
          <w:ilvl w:val="0"/>
          <w:numId w:val="1024"/>
        </w:numPr>
      </w:pPr>
      <w:r>
        <w:t xml:space="preserve">Corporate tax returns</w:t>
      </w:r>
    </w:p>
    <w:p>
      <w:pPr>
        <w:pStyle w:val="Compact"/>
        <w:numPr>
          <w:ilvl w:val="0"/>
          <w:numId w:val="1025"/>
        </w:numPr>
      </w:pPr>
      <w:r>
        <w:t xml:space="preserve">Zakat filings</w:t>
      </w:r>
    </w:p>
    <w:p>
      <w:pPr>
        <w:pStyle w:val="Compact"/>
        <w:numPr>
          <w:ilvl w:val="0"/>
          <w:numId w:val="1026"/>
        </w:numPr>
      </w:pPr>
      <w:r>
        <w:t xml:space="preserve">GOSI registrations</w:t>
      </w:r>
    </w:p>
    <w:p>
      <w:pPr>
        <w:pStyle w:val="Compact"/>
        <w:numPr>
          <w:ilvl w:val="0"/>
          <w:numId w:val="1027"/>
        </w:numPr>
      </w:pPr>
      <w:r>
        <w:t xml:space="preserve">GOSI payments</w:t>
      </w:r>
    </w:p>
    <w:p>
      <w:pPr>
        <w:pStyle w:val="Heading2"/>
      </w:pPr>
      <w:bookmarkStart w:id="13" w:name="_contracts"/>
      <w:r>
        <w:t xml:space="preserve">4. Contracts</w:t>
      </w:r>
    </w:p>
    <w:p>
      <w:pPr>
        <w:pStyle w:val="Compact"/>
        <w:numPr>
          <w:ilvl w:val="0"/>
          <w:numId w:val="1028"/>
        </w:numPr>
      </w:pPr>
      <w:r>
        <w:t xml:space="preserve">Customer contracts</w:t>
      </w:r>
    </w:p>
    <w:p>
      <w:pPr>
        <w:pStyle w:val="Compact"/>
        <w:numPr>
          <w:ilvl w:val="0"/>
          <w:numId w:val="1029"/>
        </w:numPr>
      </w:pPr>
      <w:r>
        <w:t xml:space="preserve">Vendor contracts</w:t>
      </w:r>
    </w:p>
    <w:p>
      <w:pPr>
        <w:pStyle w:val="Compact"/>
        <w:numPr>
          <w:ilvl w:val="0"/>
          <w:numId w:val="1030"/>
        </w:numPr>
      </w:pPr>
      <w:r>
        <w:t xml:space="preserve">Employment contracts</w:t>
      </w:r>
    </w:p>
    <w:p>
      <w:pPr>
        <w:pStyle w:val="Compact"/>
        <w:numPr>
          <w:ilvl w:val="0"/>
          <w:numId w:val="1031"/>
        </w:numPr>
      </w:pPr>
      <w:r>
        <w:t xml:space="preserve">Contractor agreements</w:t>
      </w:r>
    </w:p>
    <w:p>
      <w:pPr>
        <w:pStyle w:val="Compact"/>
        <w:numPr>
          <w:ilvl w:val="0"/>
          <w:numId w:val="1032"/>
        </w:numPr>
      </w:pPr>
      <w:r>
        <w:t xml:space="preserve">Advisor agreements</w:t>
      </w:r>
    </w:p>
    <w:p>
      <w:pPr>
        <w:pStyle w:val="Compact"/>
        <w:numPr>
          <w:ilvl w:val="0"/>
          <w:numId w:val="1033"/>
        </w:numPr>
      </w:pPr>
      <w:r>
        <w:t xml:space="preserve">IP assignments</w:t>
      </w:r>
    </w:p>
    <w:p>
      <w:pPr>
        <w:pStyle w:val="Compact"/>
        <w:numPr>
          <w:ilvl w:val="0"/>
          <w:numId w:val="1034"/>
        </w:numPr>
      </w:pPr>
      <w:r>
        <w:t xml:space="preserve">NDA register</w:t>
      </w:r>
    </w:p>
    <w:p>
      <w:pPr>
        <w:pStyle w:val="Compact"/>
        <w:numPr>
          <w:ilvl w:val="0"/>
          <w:numId w:val="1035"/>
        </w:numPr>
      </w:pPr>
      <w:r>
        <w:t xml:space="preserve">Lease agreements</w:t>
      </w:r>
    </w:p>
    <w:p>
      <w:pPr>
        <w:pStyle w:val="Compact"/>
        <w:numPr>
          <w:ilvl w:val="0"/>
          <w:numId w:val="1036"/>
        </w:numPr>
      </w:pPr>
      <w:r>
        <w:t xml:space="preserve">Insurance policies</w:t>
      </w:r>
    </w:p>
    <w:p>
      <w:pPr>
        <w:pStyle w:val="Heading2"/>
      </w:pPr>
      <w:bookmarkStart w:id="14" w:name="_b9d947a6aa75a868056feeaf010b6791ed232da"/>
      <w:r>
        <w:t xml:space="preserve">5. Compliance Records</w:t>
      </w:r>
    </w:p>
    <w:p>
      <w:pPr>
        <w:pStyle w:val="Compact"/>
        <w:numPr>
          <w:ilvl w:val="0"/>
          <w:numId w:val="1037"/>
        </w:numPr>
      </w:pPr>
      <w:r>
        <w:t xml:space="preserve">PDPL compliance documentation</w:t>
      </w:r>
    </w:p>
    <w:p>
      <w:pPr>
        <w:pStyle w:val="Compact"/>
        <w:numPr>
          <w:ilvl w:val="0"/>
          <w:numId w:val="1038"/>
        </w:numPr>
      </w:pPr>
      <w:r>
        <w:t xml:space="preserve">Data classification register</w:t>
      </w:r>
    </w:p>
    <w:p>
      <w:pPr>
        <w:pStyle w:val="Compact"/>
        <w:numPr>
          <w:ilvl w:val="0"/>
          <w:numId w:val="1039"/>
        </w:numPr>
      </w:pPr>
      <w:r>
        <w:t xml:space="preserve">ROPA (Record of Processing Activities)</w:t>
      </w:r>
    </w:p>
    <w:p>
      <w:pPr>
        <w:pStyle w:val="Compact"/>
        <w:numPr>
          <w:ilvl w:val="0"/>
          <w:numId w:val="1040"/>
        </w:numPr>
      </w:pPr>
      <w:r>
        <w:t xml:space="preserve">Data subject rights log</w:t>
      </w:r>
    </w:p>
    <w:p>
      <w:pPr>
        <w:pStyle w:val="Compact"/>
        <w:numPr>
          <w:ilvl w:val="0"/>
          <w:numId w:val="1041"/>
        </w:numPr>
      </w:pPr>
      <w:r>
        <w:t xml:space="preserve">Breach register</w:t>
      </w:r>
    </w:p>
    <w:p>
      <w:pPr>
        <w:pStyle w:val="Compact"/>
        <w:numPr>
          <w:ilvl w:val="0"/>
          <w:numId w:val="1042"/>
        </w:numPr>
      </w:pPr>
      <w:r>
        <w:t xml:space="preserve">Security policies</w:t>
      </w:r>
    </w:p>
    <w:p>
      <w:pPr>
        <w:pStyle w:val="Compact"/>
        <w:numPr>
          <w:ilvl w:val="0"/>
          <w:numId w:val="1043"/>
        </w:numPr>
      </w:pPr>
      <w:r>
        <w:t xml:space="preserve">Access review logs</w:t>
      </w:r>
    </w:p>
    <w:p>
      <w:pPr>
        <w:pStyle w:val="Compact"/>
        <w:numPr>
          <w:ilvl w:val="0"/>
          <w:numId w:val="1044"/>
        </w:numPr>
      </w:pPr>
      <w:r>
        <w:t xml:space="preserve">Incident log</w:t>
      </w:r>
    </w:p>
    <w:p>
      <w:pPr>
        <w:pStyle w:val="Compact"/>
        <w:numPr>
          <w:ilvl w:val="0"/>
          <w:numId w:val="1045"/>
        </w:numPr>
      </w:pPr>
      <w:r>
        <w:t xml:space="preserve">Training completion records</w:t>
      </w:r>
    </w:p>
    <w:p>
      <w:pPr>
        <w:pStyle w:val="Heading2"/>
      </w:pPr>
      <w:bookmarkStart w:id="15" w:name="_fc92a17b6a20a1225aa6c7c6d4e1d4503177ab4"/>
      <w:r>
        <w:t xml:space="preserve">6. Technical Records</w:t>
      </w:r>
    </w:p>
    <w:p>
      <w:pPr>
        <w:pStyle w:val="Compact"/>
        <w:numPr>
          <w:ilvl w:val="0"/>
          <w:numId w:val="1046"/>
        </w:numPr>
      </w:pPr>
      <w:r>
        <w:t xml:space="preserve">Architecture documentation</w:t>
      </w:r>
    </w:p>
    <w:p>
      <w:pPr>
        <w:pStyle w:val="Compact"/>
        <w:numPr>
          <w:ilvl w:val="0"/>
          <w:numId w:val="1047"/>
        </w:numPr>
      </w:pPr>
      <w:r>
        <w:t xml:space="preserve">Source code repository (with history)</w:t>
      </w:r>
    </w:p>
    <w:p>
      <w:pPr>
        <w:pStyle w:val="Compact"/>
        <w:numPr>
          <w:ilvl w:val="0"/>
          <w:numId w:val="1048"/>
        </w:numPr>
      </w:pPr>
      <w:r>
        <w:t xml:space="preserve">Open source license register</w:t>
      </w:r>
    </w:p>
    <w:p>
      <w:pPr>
        <w:pStyle w:val="Compact"/>
        <w:numPr>
          <w:ilvl w:val="0"/>
          <w:numId w:val="1049"/>
        </w:numPr>
      </w:pPr>
      <w:r>
        <w:t xml:space="preserve">SBOM (current)</w:t>
      </w:r>
    </w:p>
    <w:p>
      <w:pPr>
        <w:pStyle w:val="Compact"/>
        <w:numPr>
          <w:ilvl w:val="0"/>
          <w:numId w:val="1050"/>
        </w:numPr>
      </w:pPr>
      <w:r>
        <w:t xml:space="preserve">Security scan reports</w:t>
      </w:r>
    </w:p>
    <w:p>
      <w:pPr>
        <w:pStyle w:val="Compact"/>
        <w:numPr>
          <w:ilvl w:val="0"/>
          <w:numId w:val="1051"/>
        </w:numPr>
      </w:pPr>
      <w:r>
        <w:t xml:space="preserve">Penetration test reports</w:t>
      </w:r>
    </w:p>
    <w:p>
      <w:pPr>
        <w:pStyle w:val="Compact"/>
        <w:numPr>
          <w:ilvl w:val="0"/>
          <w:numId w:val="1052"/>
        </w:numPr>
      </w:pPr>
      <w:r>
        <w:t xml:space="preserve">Vulnerability management log</w:t>
      </w:r>
    </w:p>
    <w:p>
      <w:pPr>
        <w:pStyle w:val="Compact"/>
        <w:numPr>
          <w:ilvl w:val="0"/>
          <w:numId w:val="1053"/>
        </w:numPr>
      </w:pPr>
      <w:r>
        <w:t xml:space="preserve">Change management log</w:t>
      </w:r>
    </w:p>
    <w:p>
      <w:pPr>
        <w:pStyle w:val="Compact"/>
        <w:numPr>
          <w:ilvl w:val="0"/>
          <w:numId w:val="1054"/>
        </w:numPr>
      </w:pPr>
      <w:r>
        <w:t xml:space="preserve">Deployment log</w:t>
      </w:r>
    </w:p>
    <w:p>
      <w:pPr>
        <w:pStyle w:val="Compact"/>
        <w:numPr>
          <w:ilvl w:val="0"/>
          <w:numId w:val="1055"/>
        </w:numPr>
      </w:pPr>
      <w:r>
        <w:t xml:space="preserve">Backup verification</w:t>
      </w:r>
    </w:p>
    <w:p>
      <w:pPr>
        <w:pStyle w:val="Heading2"/>
      </w:pPr>
      <w:bookmarkStart w:id="16" w:name="_003db8a766199c7255752fe7341a259492965e1"/>
      <w:r>
        <w:t xml:space="preserve">7. HR Records</w:t>
      </w:r>
    </w:p>
    <w:p>
      <w:pPr>
        <w:pStyle w:val="Compact"/>
        <w:numPr>
          <w:ilvl w:val="0"/>
          <w:numId w:val="1056"/>
        </w:numPr>
      </w:pPr>
      <w:r>
        <w:t xml:space="preserve">Employee files</w:t>
      </w:r>
    </w:p>
    <w:p>
      <w:pPr>
        <w:pStyle w:val="Compact"/>
        <w:numPr>
          <w:ilvl w:val="0"/>
          <w:numId w:val="1057"/>
        </w:numPr>
      </w:pPr>
      <w:r>
        <w:t xml:space="preserve">Offer letters</w:t>
      </w:r>
    </w:p>
    <w:p>
      <w:pPr>
        <w:pStyle w:val="Compact"/>
        <w:numPr>
          <w:ilvl w:val="0"/>
          <w:numId w:val="1058"/>
        </w:numPr>
      </w:pPr>
      <w:r>
        <w:t xml:space="preserve">Employment contracts</w:t>
      </w:r>
    </w:p>
    <w:p>
      <w:pPr>
        <w:pStyle w:val="Compact"/>
        <w:numPr>
          <w:ilvl w:val="0"/>
          <w:numId w:val="1059"/>
        </w:numPr>
      </w:pPr>
      <w:r>
        <w:t xml:space="preserve">Job descriptions</w:t>
      </w:r>
    </w:p>
    <w:p>
      <w:pPr>
        <w:pStyle w:val="Compact"/>
        <w:numPr>
          <w:ilvl w:val="0"/>
          <w:numId w:val="1060"/>
        </w:numPr>
      </w:pPr>
      <w:r>
        <w:t xml:space="preserve">Performance reviews</w:t>
      </w:r>
    </w:p>
    <w:p>
      <w:pPr>
        <w:pStyle w:val="Compact"/>
        <w:numPr>
          <w:ilvl w:val="0"/>
          <w:numId w:val="1061"/>
        </w:numPr>
      </w:pPr>
      <w:r>
        <w:t xml:space="preserve">Disciplinary records</w:t>
      </w:r>
    </w:p>
    <w:p>
      <w:pPr>
        <w:pStyle w:val="Compact"/>
        <w:numPr>
          <w:ilvl w:val="0"/>
          <w:numId w:val="1062"/>
        </w:numPr>
      </w:pPr>
      <w:r>
        <w:t xml:space="preserve">Exit documentation</w:t>
      </w:r>
    </w:p>
    <w:p>
      <w:pPr>
        <w:pStyle w:val="Compact"/>
        <w:numPr>
          <w:ilvl w:val="0"/>
          <w:numId w:val="1063"/>
        </w:numPr>
      </w:pPr>
      <w:r>
        <w:t xml:space="preserve">GOSI registrations</w:t>
      </w:r>
    </w:p>
    <w:p>
      <w:pPr>
        <w:pStyle w:val="Heading2"/>
      </w:pPr>
      <w:bookmarkStart w:id="17" w:name="_6d48bfbe8140bae013bc41eb33d54b6692a7735"/>
      <w:r>
        <w:t xml:space="preserve">8. Governance Records</w:t>
      </w:r>
    </w:p>
    <w:p>
      <w:pPr>
        <w:pStyle w:val="Compact"/>
        <w:numPr>
          <w:ilvl w:val="0"/>
          <w:numId w:val="1064"/>
        </w:numPr>
      </w:pPr>
      <w:r>
        <w:t xml:space="preserve">Board Charter</w:t>
      </w:r>
    </w:p>
    <w:p>
      <w:pPr>
        <w:pStyle w:val="Compact"/>
        <w:numPr>
          <w:ilvl w:val="0"/>
          <w:numId w:val="1065"/>
        </w:numPr>
      </w:pPr>
      <w:r>
        <w:t xml:space="preserve">Committee charters</w:t>
      </w:r>
    </w:p>
    <w:p>
      <w:pPr>
        <w:pStyle w:val="Compact"/>
        <w:numPr>
          <w:ilvl w:val="0"/>
          <w:numId w:val="1066"/>
        </w:numPr>
      </w:pPr>
      <w:r>
        <w:t xml:space="preserve">Delegation of Authority</w:t>
      </w:r>
    </w:p>
    <w:p>
      <w:pPr>
        <w:pStyle w:val="Compact"/>
        <w:numPr>
          <w:ilvl w:val="0"/>
          <w:numId w:val="1067"/>
        </w:numPr>
      </w:pPr>
      <w:r>
        <w:t xml:space="preserve">Reserved matters</w:t>
      </w:r>
    </w:p>
    <w:p>
      <w:pPr>
        <w:pStyle w:val="Compact"/>
        <w:numPr>
          <w:ilvl w:val="0"/>
          <w:numId w:val="1068"/>
        </w:numPr>
      </w:pPr>
      <w:r>
        <w:t xml:space="preserve">Code of Conduct</w:t>
      </w:r>
    </w:p>
    <w:p>
      <w:pPr>
        <w:pStyle w:val="Compact"/>
        <w:numPr>
          <w:ilvl w:val="0"/>
          <w:numId w:val="1069"/>
        </w:numPr>
      </w:pPr>
      <w:r>
        <w:t xml:space="preserve">Whistleblower policy</w:t>
      </w:r>
    </w:p>
    <w:p>
      <w:pPr>
        <w:pStyle w:val="Compact"/>
        <w:numPr>
          <w:ilvl w:val="0"/>
          <w:numId w:val="1070"/>
        </w:numPr>
      </w:pPr>
      <w:r>
        <w:t xml:space="preserve">Related-party register</w:t>
      </w:r>
    </w:p>
    <w:p>
      <w:pPr>
        <w:pStyle w:val="Compact"/>
        <w:numPr>
          <w:ilvl w:val="0"/>
          <w:numId w:val="1071"/>
        </w:numPr>
      </w:pPr>
      <w:r>
        <w:t xml:space="preserve">Conflict of interest disclosures</w:t>
      </w:r>
    </w:p>
    <w:p>
      <w:pPr>
        <w:pStyle w:val="Heading2"/>
      </w:pPr>
      <w:bookmarkStart w:id="18" w:name="_b71d007e502fd7061492a20702eb0563bdae25d"/>
      <w:r>
        <w:t xml:space="preserve">9. Investor Records</w:t>
      </w:r>
    </w:p>
    <w:p>
      <w:pPr>
        <w:pStyle w:val="Compact"/>
        <w:numPr>
          <w:ilvl w:val="0"/>
          <w:numId w:val="1072"/>
        </w:numPr>
      </w:pPr>
      <w:r>
        <w:t xml:space="preserve">Subscription agreements</w:t>
      </w:r>
    </w:p>
    <w:p>
      <w:pPr>
        <w:pStyle w:val="Compact"/>
        <w:numPr>
          <w:ilvl w:val="0"/>
          <w:numId w:val="1073"/>
        </w:numPr>
      </w:pPr>
      <w:r>
        <w:t xml:space="preserve">Shareholder agreements</w:t>
      </w:r>
    </w:p>
    <w:p>
      <w:pPr>
        <w:pStyle w:val="Compact"/>
        <w:numPr>
          <w:ilvl w:val="0"/>
          <w:numId w:val="1074"/>
        </w:numPr>
      </w:pPr>
      <w:r>
        <w:t xml:space="preserve">Investor rights agreement</w:t>
      </w:r>
    </w:p>
    <w:p>
      <w:pPr>
        <w:pStyle w:val="Compact"/>
        <w:numPr>
          <w:ilvl w:val="0"/>
          <w:numId w:val="1075"/>
        </w:numPr>
      </w:pPr>
      <w:r>
        <w:t xml:space="preserve">Information rights log</w:t>
      </w:r>
    </w:p>
    <w:p>
      <w:pPr>
        <w:pStyle w:val="Compact"/>
        <w:numPr>
          <w:ilvl w:val="0"/>
          <w:numId w:val="1076"/>
        </w:numPr>
      </w:pPr>
      <w:r>
        <w:t xml:space="preserve">Pro-rata tracking</w:t>
      </w:r>
    </w:p>
    <w:p>
      <w:pPr>
        <w:pStyle w:val="Compact"/>
        <w:numPr>
          <w:ilvl w:val="0"/>
          <w:numId w:val="1077"/>
        </w:numPr>
      </w:pPr>
      <w:r>
        <w:t xml:space="preserve">Investor communications</w:t>
      </w:r>
    </w:p>
    <w:p>
      <w:pPr>
        <w:pStyle w:val="Compact"/>
        <w:numPr>
          <w:ilvl w:val="0"/>
          <w:numId w:val="1078"/>
        </w:numPr>
      </w:pPr>
      <w:r>
        <w:t xml:space="preserve">Board pack distribution log</w:t>
      </w:r>
    </w:p>
    <w:p>
      <w:pPr>
        <w:pStyle w:val="Heading2"/>
      </w:pPr>
      <w:bookmarkStart w:id="19" w:name="_4a933014887749c1e5bd0c18618c2d71fcd4bfb"/>
      <w:r>
        <w:t xml:space="preserve">10. Risk Records</w:t>
      </w:r>
    </w:p>
    <w:p>
      <w:pPr>
        <w:pStyle w:val="Compact"/>
        <w:numPr>
          <w:ilvl w:val="0"/>
          <w:numId w:val="1079"/>
        </w:numPr>
      </w:pPr>
      <w:r>
        <w:t xml:space="preserve">Risk register (current)</w:t>
      </w:r>
    </w:p>
    <w:p>
      <w:pPr>
        <w:pStyle w:val="Compact"/>
        <w:numPr>
          <w:ilvl w:val="0"/>
          <w:numId w:val="1080"/>
        </w:numPr>
      </w:pPr>
      <w:r>
        <w:t xml:space="preserve">Risk assessments</w:t>
      </w:r>
    </w:p>
    <w:p>
      <w:pPr>
        <w:pStyle w:val="Compact"/>
        <w:numPr>
          <w:ilvl w:val="0"/>
          <w:numId w:val="1081"/>
        </w:numPr>
      </w:pPr>
      <w:r>
        <w:t xml:space="preserve">Mitigation plans</w:t>
      </w:r>
    </w:p>
    <w:p>
      <w:pPr>
        <w:pStyle w:val="Compact"/>
        <w:numPr>
          <w:ilvl w:val="0"/>
          <w:numId w:val="1082"/>
        </w:numPr>
      </w:pPr>
      <w:r>
        <w:t xml:space="preserve">Insurance policies</w:t>
      </w:r>
    </w:p>
    <w:p>
      <w:pPr>
        <w:pStyle w:val="Compact"/>
        <w:numPr>
          <w:ilvl w:val="0"/>
          <w:numId w:val="1083"/>
        </w:numPr>
      </w:pPr>
      <w:r>
        <w:t xml:space="preserve">Business continuity plan</w:t>
      </w:r>
    </w:p>
    <w:p>
      <w:pPr>
        <w:pStyle w:val="Compact"/>
        <w:numPr>
          <w:ilvl w:val="0"/>
          <w:numId w:val="1084"/>
        </w:numPr>
      </w:pPr>
      <w:r>
        <w:t xml:space="preserve">DR test results</w:t>
      </w:r>
    </w:p>
    <w:p>
      <w:pPr>
        <w:pStyle w:val="Compact"/>
        <w:numPr>
          <w:ilvl w:val="0"/>
          <w:numId w:val="1085"/>
        </w:numPr>
      </w:pPr>
      <w:r>
        <w:t xml:space="preserve">Incident response log</w:t>
      </w:r>
    </w:p>
    <w:p>
      <w:pPr>
        <w:pStyle w:val="Heading2"/>
      </w:pPr>
      <w:bookmarkStart w:id="20" w:name="_aac79b07b4d3103923e9cef819e49052e12925d"/>
      <w:r>
        <w:t xml:space="preserve">11. Audit Preparation</w:t>
      </w:r>
    </w:p>
    <w:p>
      <w:pPr>
        <w:pStyle w:val="Compact"/>
        <w:numPr>
          <w:ilvl w:val="0"/>
          <w:numId w:val="1086"/>
        </w:numPr>
      </w:pPr>
      <w:r>
        <w:t xml:space="preserve">Auditor selected</w:t>
      </w:r>
    </w:p>
    <w:p>
      <w:pPr>
        <w:pStyle w:val="Compact"/>
        <w:numPr>
          <w:ilvl w:val="0"/>
          <w:numId w:val="1087"/>
        </w:numPr>
      </w:pPr>
      <w:r>
        <w:t xml:space="preserve">Engagement letter signed</w:t>
      </w:r>
    </w:p>
    <w:p>
      <w:pPr>
        <w:pStyle w:val="Compact"/>
        <w:numPr>
          <w:ilvl w:val="0"/>
          <w:numId w:val="1088"/>
        </w:numPr>
      </w:pPr>
      <w:r>
        <w:t xml:space="preserve">PBC list received</w:t>
      </w:r>
    </w:p>
    <w:p>
      <w:pPr>
        <w:pStyle w:val="Compact"/>
        <w:numPr>
          <w:ilvl w:val="0"/>
          <w:numId w:val="1089"/>
        </w:numPr>
      </w:pPr>
      <w:r>
        <w:t xml:space="preserve">PBC list prepared</w:t>
      </w:r>
    </w:p>
    <w:p>
      <w:pPr>
        <w:pStyle w:val="Compact"/>
        <w:numPr>
          <w:ilvl w:val="0"/>
          <w:numId w:val="1090"/>
        </w:numPr>
      </w:pPr>
      <w:r>
        <w:t xml:space="preserve">Kickoff meeting held</w:t>
      </w:r>
    </w:p>
    <w:p>
      <w:pPr>
        <w:pStyle w:val="Compact"/>
        <w:numPr>
          <w:ilvl w:val="0"/>
          <w:numId w:val="1091"/>
        </w:numPr>
      </w:pPr>
      <w:r>
        <w:t xml:space="preserve">Timeline agreed</w:t>
      </w:r>
    </w:p>
    <w:p>
      <w:pPr>
        <w:pStyle w:val="Compact"/>
        <w:numPr>
          <w:ilvl w:val="0"/>
          <w:numId w:val="1092"/>
        </w:numPr>
      </w:pPr>
      <w:r>
        <w:t xml:space="preserve">Data room prepared</w:t>
      </w:r>
    </w:p>
    <w:p>
      <w:pPr>
        <w:pStyle w:val="Heading2"/>
      </w:pPr>
      <w:bookmarkStart w:id="21" w:name="_milestones"/>
      <w:r>
        <w:t xml:space="preserve">12. Milestones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Milestone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Auditor selected</w:t>
            </w:r>
          </w:p>
        </w:tc>
        <w:tc>
          <w:tcPr/>
          <w:p>
            <w:pPr>
              <w:pStyle w:val="Compact"/>
            </w:pPr>
            <w:r>
              <w:t xml:space="preserve">Q1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Planning complete</w:t>
            </w:r>
          </w:p>
        </w:tc>
        <w:tc>
          <w:tcPr/>
          <w:p>
            <w:pPr>
              <w:pStyle w:val="Compact"/>
            </w:pPr>
            <w:r>
              <w:t xml:space="preserve">Q1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Fieldwork start</w:t>
            </w:r>
          </w:p>
        </w:tc>
        <w:tc>
          <w:tcPr/>
          <w:p>
            <w:pPr>
              <w:pStyle w:val="Compact"/>
            </w:pPr>
            <w:r>
              <w:t xml:space="preserve">Q2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Fieldwork end</w:t>
            </w:r>
          </w:p>
        </w:tc>
        <w:tc>
          <w:tcPr/>
          <w:p>
            <w:pPr>
              <w:pStyle w:val="Compact"/>
            </w:pPr>
            <w:r>
              <w:t xml:space="preserve">Q2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Draft report</w:t>
            </w:r>
          </w:p>
        </w:tc>
        <w:tc>
          <w:tcPr/>
          <w:p>
            <w:pPr>
              <w:pStyle w:val="Compact"/>
            </w:pPr>
            <w:r>
              <w:t xml:space="preserve">Q3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Final report</w:t>
            </w:r>
          </w:p>
        </w:tc>
        <w:tc>
          <w:tcPr/>
          <w:p>
            <w:pPr>
              <w:pStyle w:val="Compact"/>
            </w:pPr>
            <w:r>
              <w:t xml:space="preserve">Q3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Audit readiness is a continuous discipline. Reviewed quarterly.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Due Diligence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2"/>
  </w:num>
  <w:num w:numId="1028">
    <w:abstractNumId w:val="992"/>
  </w:num>
  <w:num w:numId="1029">
    <w:abstractNumId w:val="992"/>
  </w:num>
  <w:num w:numId="1030">
    <w:abstractNumId w:val="992"/>
  </w:num>
  <w:num w:numId="1031">
    <w:abstractNumId w:val="992"/>
  </w:num>
  <w:num w:numId="1032">
    <w:abstractNumId w:val="992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2"/>
  </w:num>
  <w:num w:numId="1039">
    <w:abstractNumId w:val="992"/>
  </w:num>
  <w:num w:numId="1040">
    <w:abstractNumId w:val="992"/>
  </w:num>
  <w:num w:numId="1041">
    <w:abstractNumId w:val="992"/>
  </w:num>
  <w:num w:numId="1042">
    <w:abstractNumId w:val="992"/>
  </w:num>
  <w:num w:numId="1043">
    <w:abstractNumId w:val="992"/>
  </w:num>
  <w:num w:numId="1044">
    <w:abstractNumId w:val="992"/>
  </w:num>
  <w:num w:numId="1045">
    <w:abstractNumId w:val="992"/>
  </w:num>
  <w:num w:numId="1046">
    <w:abstractNumId w:val="992"/>
  </w:num>
  <w:num w:numId="1047">
    <w:abstractNumId w:val="992"/>
  </w:num>
  <w:num w:numId="1048">
    <w:abstractNumId w:val="992"/>
  </w:num>
  <w:num w:numId="1049">
    <w:abstractNumId w:val="992"/>
  </w:num>
  <w:num w:numId="1050">
    <w:abstractNumId w:val="992"/>
  </w:num>
  <w:num w:numId="1051">
    <w:abstractNumId w:val="992"/>
  </w:num>
  <w:num w:numId="1052">
    <w:abstractNumId w:val="992"/>
  </w:num>
  <w:num w:numId="1053">
    <w:abstractNumId w:val="992"/>
  </w:num>
  <w:num w:numId="1054">
    <w:abstractNumId w:val="992"/>
  </w:num>
  <w:num w:numId="1055">
    <w:abstractNumId w:val="992"/>
  </w:num>
  <w:num w:numId="1056">
    <w:abstractNumId w:val="992"/>
  </w:num>
  <w:num w:numId="1057">
    <w:abstractNumId w:val="992"/>
  </w:num>
  <w:num w:numId="1058">
    <w:abstractNumId w:val="992"/>
  </w:num>
  <w:num w:numId="1059">
    <w:abstractNumId w:val="992"/>
  </w:num>
  <w:num w:numId="1060">
    <w:abstractNumId w:val="992"/>
  </w:num>
  <w:num w:numId="1061">
    <w:abstractNumId w:val="992"/>
  </w:num>
  <w:num w:numId="1062">
    <w:abstractNumId w:val="992"/>
  </w:num>
  <w:num w:numId="1063">
    <w:abstractNumId w:val="992"/>
  </w:num>
  <w:num w:numId="1064">
    <w:abstractNumId w:val="992"/>
  </w:num>
  <w:num w:numId="1065">
    <w:abstractNumId w:val="992"/>
  </w:num>
  <w:num w:numId="1066">
    <w:abstractNumId w:val="992"/>
  </w:num>
  <w:num w:numId="1067">
    <w:abstractNumId w:val="992"/>
  </w:num>
  <w:num w:numId="1068">
    <w:abstractNumId w:val="992"/>
  </w:num>
  <w:num w:numId="1069">
    <w:abstractNumId w:val="992"/>
  </w:num>
  <w:num w:numId="1070">
    <w:abstractNumId w:val="992"/>
  </w:num>
  <w:num w:numId="1071">
    <w:abstractNumId w:val="992"/>
  </w:num>
  <w:num w:numId="1072">
    <w:abstractNumId w:val="992"/>
  </w:num>
  <w:num w:numId="1073">
    <w:abstractNumId w:val="992"/>
  </w:num>
  <w:num w:numId="1074">
    <w:abstractNumId w:val="992"/>
  </w:num>
  <w:num w:numId="1075">
    <w:abstractNumId w:val="992"/>
  </w:num>
  <w:num w:numId="1076">
    <w:abstractNumId w:val="992"/>
  </w:num>
  <w:num w:numId="1077">
    <w:abstractNumId w:val="992"/>
  </w:num>
  <w:num w:numId="1078">
    <w:abstractNumId w:val="992"/>
  </w:num>
  <w:num w:numId="1079">
    <w:abstractNumId w:val="992"/>
  </w:num>
  <w:num w:numId="1080">
    <w:abstractNumId w:val="992"/>
  </w:num>
  <w:num w:numId="1081">
    <w:abstractNumId w:val="992"/>
  </w:num>
  <w:num w:numId="1082">
    <w:abstractNumId w:val="992"/>
  </w:num>
  <w:num w:numId="1083">
    <w:abstractNumId w:val="992"/>
  </w:num>
  <w:num w:numId="1084">
    <w:abstractNumId w:val="992"/>
  </w:num>
  <w:num w:numId="1085">
    <w:abstractNumId w:val="992"/>
  </w:num>
  <w:num w:numId="1086">
    <w:abstractNumId w:val="992"/>
  </w:num>
  <w:num w:numId="1087">
    <w:abstractNumId w:val="992"/>
  </w:num>
  <w:num w:numId="1088">
    <w:abstractNumId w:val="992"/>
  </w:num>
  <w:num w:numId="1089">
    <w:abstractNumId w:val="992"/>
  </w:num>
  <w:num w:numId="1090">
    <w:abstractNumId w:val="992"/>
  </w:num>
  <w:num w:numId="1091">
    <w:abstractNumId w:val="992"/>
  </w:num>
  <w:num w:numId="1092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Audit Readiness Checklist</dc:title>
  <dc:creator>HISN Platform</dc:creator>
  <cp:keywords>HISN, FCDOS, financial crime, decision operating system</cp:keywords>
  <dcterms:created xsi:type="dcterms:W3CDTF">2026-10-14T09:43:13Z</dcterms:created>
  <dcterms:modified xsi:type="dcterms:W3CDTF">2026-10-14T09:43:13Z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