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02_Full_Memorandum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f453470d337a644f2c5879c0a0b4b0c65a780e4"/>
      <w:r>
        <w:t xml:space="preserve">INVESTMENT MEMORANDUM — FULL</w:t>
      </w:r>
    </w:p>
    <w:p>
      <w:pPr>
        <w:pStyle w:val="FirstParagraph"/>
      </w:pPr>
      <w:r>
        <w:rPr>
          <w:b/>
          <w:bCs/>
        </w:rPr>
        <w:t xml:space="preserve">HISN Platform | Seed Round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14 October 2026</w:t>
      </w:r>
      <w:r>
        <w:t xml:space="preserve"> </w:t>
      </w:r>
      <w:r>
        <w:rPr>
          <w:b/>
          <w:bCs/>
        </w:rPr>
        <w:t xml:space="preserve">Prepared to:</w:t>
      </w:r>
      <w:r>
        <w:t xml:space="preserve"> </w:t>
      </w:r>
      <w:r>
        <w:t xml:space="preserve">Big Four Institutional Standards</w:t>
      </w:r>
      <w:r>
        <w:t xml:space="preserve"> </w:t>
      </w:r>
      <w:r>
        <w:rPr>
          <w:b/>
          <w:bCs/>
        </w:rPr>
        <w:t xml:space="preserve">Classification:</w:t>
      </w:r>
      <w:r>
        <w:t xml:space="preserve"> </w:t>
      </w:r>
      <w:r>
        <w:t xml:space="preserve">Confidential — Investor Review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24178e17815d7ed05207769f6e2fdf5de730a75"/>
      <w:r>
        <w:t xml:space="preserve">Executive Summary</w:t>
      </w:r>
    </w:p>
    <w:p>
      <w:pPr>
        <w:pStyle w:val="FirstParagraph"/>
      </w:pPr>
      <w:r>
        <w:t xml:space="preserve">HISN Platform is raising SAR 7,500,000 in a Seed round at SAR 30,000,000 pre-money. The company has built a Financial Crime Decision Operating System (FCDOS) with demonstrated technical maturity across six financial crime engines, multi-tenant security, and audit-grade decision lineage.</w:t>
      </w:r>
    </w:p>
    <w:p>
      <w:pPr>
        <w:pStyle w:val="Heading2"/>
      </w:pPr>
      <w:bookmarkStart w:id="11" w:name="_16a182ab35ea4d35f5d173df1104449598096a4"/>
      <w:r>
        <w:t xml:space="preserve">1. Company Overview</w:t>
      </w:r>
    </w:p>
    <w:p>
      <w:pPr>
        <w:pStyle w:val="FirstParagraph"/>
      </w:pPr>
      <w:r>
        <w:rPr>
          <w:b/>
          <w:bCs/>
        </w:rPr>
        <w:t xml:space="preserve">Name:</w:t>
      </w:r>
      <w:r>
        <w:t xml:space="preserve"> </w:t>
      </w:r>
      <w:r>
        <w:t xml:space="preserve">HISN Platform</w:t>
      </w:r>
      <w:r>
        <w:t xml:space="preserve"> </w:t>
      </w:r>
      <w:r>
        <w:rPr>
          <w:b/>
          <w:bCs/>
        </w:rPr>
        <w:t xml:space="preserve">Founder &amp; CEO:</w:t>
      </w:r>
      <w:r>
        <w:t xml:space="preserve"> </w:t>
      </w:r>
      <w:r>
        <w:t xml:space="preserve">Mohamed Abdo</w:t>
      </w:r>
      <w:r>
        <w:t xml:space="preserve"> </w:t>
      </w:r>
      <w:r>
        <w:rPr>
          <w:b/>
          <w:bCs/>
        </w:rPr>
        <w:t xml:space="preserve">Founded:</w:t>
      </w:r>
      <w:r>
        <w:t xml:space="preserve"> </w:t>
      </w:r>
      <w:r>
        <w:t xml:space="preserve">2026</w:t>
      </w:r>
      <w:r>
        <w:t xml:space="preserve"> </w:t>
      </w:r>
      <w:r>
        <w:rPr>
          <w:b/>
          <w:bCs/>
        </w:rPr>
        <w:t xml:space="preserve">Location:</w:t>
      </w:r>
      <w:r>
        <w:t xml:space="preserve"> </w:t>
      </w:r>
      <w:r>
        <w:t xml:space="preserve">Riyadh, Saudi Arabia</w:t>
      </w:r>
      <w:r>
        <w:t xml:space="preserve"> </w:t>
      </w:r>
      <w:r>
        <w:rPr>
          <w:b/>
          <w:bCs/>
        </w:rPr>
        <w:t xml:space="preserve">Sector:</w:t>
      </w:r>
      <w:r>
        <w:t xml:space="preserve"> </w:t>
      </w:r>
      <w:r>
        <w:t xml:space="preserve">RegTech / Financial Crime Compliance</w:t>
      </w:r>
      <w:r>
        <w:t xml:space="preserve"> </w:t>
      </w:r>
      <w:r>
        <w:rPr>
          <w:b/>
          <w:bCs/>
        </w:rPr>
        <w:t xml:space="preserve">Stage:</w:t>
      </w:r>
      <w:r>
        <w:t xml:space="preserve"> </w:t>
      </w:r>
      <w:r>
        <w:t xml:space="preserve">Pre-commercial</w:t>
      </w:r>
    </w:p>
    <w:p>
      <w:pPr>
        <w:pStyle w:val="Heading2"/>
      </w:pPr>
      <w:bookmarkStart w:id="12" w:name="_c4bb5767da09a593293f093d1d9c5aca68e9940"/>
      <w:r>
        <w:t xml:space="preserve">2. Market Opportunity</w:t>
      </w:r>
    </w:p>
    <w:p>
      <w:pPr>
        <w:pStyle w:val="Heading3"/>
      </w:pPr>
      <w:bookmarkStart w:id="13" w:name="_2953a47d67469e6358924486363851024e34a7e"/>
      <w:r>
        <w:t xml:space="preserve">2.1 Global Context</w:t>
      </w:r>
    </w:p>
    <w:p>
      <w:pPr>
        <w:pStyle w:val="Compact"/>
        <w:numPr>
          <w:ilvl w:val="0"/>
          <w:numId w:val="1001"/>
        </w:numPr>
      </w:pPr>
      <w:r>
        <w:t xml:space="preserve">Financial crime software: USD 15-20B</w:t>
      </w:r>
    </w:p>
    <w:p>
      <w:pPr>
        <w:pStyle w:val="Compact"/>
        <w:numPr>
          <w:ilvl w:val="0"/>
          <w:numId w:val="1001"/>
        </w:numPr>
      </w:pPr>
      <w:r>
        <w:t xml:space="preserve">MENA RegTech: USD 2-3B</w:t>
      </w:r>
    </w:p>
    <w:p>
      <w:pPr>
        <w:pStyle w:val="Compact"/>
        <w:numPr>
          <w:ilvl w:val="0"/>
          <w:numId w:val="1001"/>
        </w:numPr>
      </w:pPr>
      <w:r>
        <w:t xml:space="preserve">Saudi SAM: SAR 1.2-1.8B</w:t>
      </w:r>
    </w:p>
    <w:p>
      <w:pPr>
        <w:pStyle w:val="Compact"/>
        <w:numPr>
          <w:ilvl w:val="0"/>
          <w:numId w:val="1001"/>
        </w:numPr>
      </w:pPr>
      <w:r>
        <w:t xml:space="preserve">HISN SOM (5y): SAR 120-180M</w:t>
      </w:r>
    </w:p>
    <w:p>
      <w:pPr>
        <w:pStyle w:val="Heading3"/>
      </w:pPr>
      <w:bookmarkStart w:id="14" w:name="_drivers"/>
      <w:r>
        <w:t xml:space="preserve">2.2 Drivers</w:t>
      </w:r>
    </w:p>
    <w:p>
      <w:pPr>
        <w:pStyle w:val="Compact"/>
        <w:numPr>
          <w:ilvl w:val="0"/>
          <w:numId w:val="1002"/>
        </w:numPr>
      </w:pPr>
      <w:r>
        <w:t xml:space="preserve">Vision 2030 FSDP</w:t>
      </w:r>
    </w:p>
    <w:p>
      <w:pPr>
        <w:pStyle w:val="Compact"/>
        <w:numPr>
          <w:ilvl w:val="0"/>
          <w:numId w:val="1002"/>
        </w:numPr>
      </w:pPr>
      <w:r>
        <w:t xml:space="preserve">SAMA/CMA regulatory pressure</w:t>
      </w:r>
    </w:p>
    <w:p>
      <w:pPr>
        <w:pStyle w:val="Compact"/>
        <w:numPr>
          <w:ilvl w:val="0"/>
          <w:numId w:val="1002"/>
        </w:numPr>
      </w:pPr>
      <w:r>
        <w:t xml:space="preserve">PDPL enforcement</w:t>
      </w:r>
    </w:p>
    <w:p>
      <w:pPr>
        <w:pStyle w:val="Compact"/>
        <w:numPr>
          <w:ilvl w:val="0"/>
          <w:numId w:val="1002"/>
        </w:numPr>
      </w:pPr>
      <w:r>
        <w:t xml:space="preserve">AI governance requirements</w:t>
      </w:r>
    </w:p>
    <w:p>
      <w:pPr>
        <w:pStyle w:val="Compact"/>
        <w:numPr>
          <w:ilvl w:val="0"/>
          <w:numId w:val="1002"/>
        </w:numPr>
      </w:pPr>
      <w:r>
        <w:t xml:space="preserve">Local-first procurement preference</w:t>
      </w:r>
    </w:p>
    <w:p>
      <w:pPr>
        <w:pStyle w:val="Heading2"/>
      </w:pPr>
      <w:bookmarkStart w:id="15" w:name="_product"/>
      <w:r>
        <w:t xml:space="preserve">3. Product</w:t>
      </w:r>
    </w:p>
    <w:p>
      <w:pPr>
        <w:pStyle w:val="Heading3"/>
      </w:pPr>
      <w:bookmarkStart w:id="16" w:name="_platform"/>
      <w:r>
        <w:t xml:space="preserve">3.1 Platform</w:t>
      </w:r>
    </w:p>
    <w:p>
      <w:pPr>
        <w:pStyle w:val="FirstParagraph"/>
      </w:pPr>
      <w:r>
        <w:t xml:space="preserve">HISN FCDOS provides:</w:t>
      </w:r>
      <w:r>
        <w:t xml:space="preserve"> </w:t>
      </w:r>
      <w:r>
        <w:t xml:space="preserve">- Canonical Decision Runtime</w:t>
      </w:r>
      <w:r>
        <w:t xml:space="preserve"> </w:t>
      </w:r>
      <w:r>
        <w:t xml:space="preserve">- 6 verified engines (AML, Fraud, Sanctions, KYC, KYB, Graph)</w:t>
      </w:r>
      <w:r>
        <w:t xml:space="preserve"> </w:t>
      </w:r>
      <w:r>
        <w:t xml:space="preserve">- Decision DNA</w:t>
      </w:r>
      <w:r>
        <w:t xml:space="preserve"> </w:t>
      </w:r>
      <w:r>
        <w:t xml:space="preserve">- Evidence + Audit</w:t>
      </w:r>
      <w:r>
        <w:t xml:space="preserve"> </w:t>
      </w:r>
      <w:r>
        <w:t xml:space="preserve">- Multi-tenant RLS</w:t>
      </w:r>
      <w:r>
        <w:t xml:space="preserve"> </w:t>
      </w:r>
      <w:r>
        <w:t xml:space="preserve">- API-first architecture</w:t>
      </w:r>
    </w:p>
    <w:p>
      <w:pPr>
        <w:pStyle w:val="Heading3"/>
      </w:pPr>
      <w:bookmarkStart w:id="17" w:name="_differentiation"/>
      <w:r>
        <w:t xml:space="preserve">3.2 Differentiation</w:t>
      </w:r>
    </w:p>
    <w:p>
      <w:pPr>
        <w:pStyle w:val="Compact"/>
        <w:numPr>
          <w:ilvl w:val="0"/>
          <w:numId w:val="1003"/>
        </w:numPr>
      </w:pPr>
      <w:r>
        <w:t xml:space="preserve">Decision-centric (not point solution)</w:t>
      </w:r>
    </w:p>
    <w:p>
      <w:pPr>
        <w:pStyle w:val="Compact"/>
        <w:numPr>
          <w:ilvl w:val="0"/>
          <w:numId w:val="1003"/>
        </w:numPr>
      </w:pPr>
      <w:r>
        <w:t xml:space="preserve">Audit-grade evidence</w:t>
      </w:r>
    </w:p>
    <w:p>
      <w:pPr>
        <w:pStyle w:val="Compact"/>
        <w:numPr>
          <w:ilvl w:val="0"/>
          <w:numId w:val="1003"/>
        </w:numPr>
      </w:pPr>
      <w:r>
        <w:t xml:space="preserve">Saudi-first + Arabic</w:t>
      </w:r>
    </w:p>
    <w:p>
      <w:pPr>
        <w:pStyle w:val="Compact"/>
        <w:numPr>
          <w:ilvl w:val="0"/>
          <w:numId w:val="1003"/>
        </w:numPr>
      </w:pPr>
      <w:r>
        <w:t xml:space="preserve">Multi-domain validation</w:t>
      </w:r>
    </w:p>
    <w:p>
      <w:pPr>
        <w:pStyle w:val="Compact"/>
        <w:numPr>
          <w:ilvl w:val="0"/>
          <w:numId w:val="1003"/>
        </w:numPr>
      </w:pPr>
      <w:r>
        <w:t xml:space="preserve">Cloud-native + on-premise capable</w:t>
      </w:r>
    </w:p>
    <w:p>
      <w:pPr>
        <w:pStyle w:val="Heading2"/>
      </w:pPr>
      <w:bookmarkStart w:id="18" w:name="_technology"/>
      <w:r>
        <w:t xml:space="preserve">4. Technology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Python LOC</w:t>
            </w:r>
          </w:p>
        </w:tc>
        <w:tc>
          <w:tcPr/>
          <w:p>
            <w:pPr>
              <w:pStyle w:val="Compact"/>
            </w:pPr>
            <w:r>
              <w:t xml:space="preserve">66,502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TypeScript LOC</w:t>
            </w:r>
          </w:p>
        </w:tc>
        <w:tc>
          <w:tcPr/>
          <w:p>
            <w:pPr>
              <w:pStyle w:val="Compact"/>
            </w:pPr>
            <w:r>
              <w:t xml:space="preserve">23,240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Test suites</w:t>
            </w:r>
          </w:p>
        </w:tc>
        <w:tc>
          <w:tcPr/>
          <w:p>
            <w:pPr>
              <w:pStyle w:val="Compact"/>
            </w:pPr>
            <w:r>
              <w:t xml:space="preserve">280+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Migrations</w:t>
            </w:r>
          </w:p>
        </w:tc>
        <w:tc>
          <w:tcPr/>
          <w:p>
            <w:pPr>
              <w:pStyle w:val="Compact"/>
            </w:pPr>
            <w:r>
              <w:t xml:space="preserve">46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Documentation</w:t>
            </w:r>
          </w:p>
        </w:tc>
        <w:tc>
          <w:tcPr/>
          <w:p>
            <w:pPr>
              <w:pStyle w:val="Compact"/>
            </w:pPr>
            <w:r>
              <w:t xml:space="preserve">830+ files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Terminal Assurance</w:t>
            </w:r>
          </w:p>
        </w:tc>
        <w:tc>
          <w:tcPr/>
          <w:p>
            <w:pPr>
              <w:pStyle w:val="Compact"/>
            </w:pPr>
            <w:r>
              <w:t xml:space="preserve">Passing</w:t>
            </w:r>
          </w:p>
        </w:tc>
      </w:tr>
    </w:tbl>
    <w:p>
      <w:pPr>
        <w:pStyle w:val="Heading2"/>
      </w:pPr>
      <w:bookmarkStart w:id="19" w:name="_033dafe3e343b96901ec12d985c2633b6364a3e"/>
      <w:r>
        <w:t xml:space="preserve">5. Traction &amp; Validation</w:t>
      </w:r>
    </w:p>
    <w:p>
      <w:pPr>
        <w:pStyle w:val="Compact"/>
        <w:numPr>
          <w:ilvl w:val="0"/>
          <w:numId w:val="1004"/>
        </w:numPr>
      </w:pPr>
      <w:r>
        <w:t xml:space="preserve">Multi-domain synthetic validation (FARES, FARIDA, FAIRUZ)</w:t>
      </w:r>
    </w:p>
    <w:p>
      <w:pPr>
        <w:pStyle w:val="Compact"/>
        <w:numPr>
          <w:ilvl w:val="0"/>
          <w:numId w:val="1004"/>
        </w:numPr>
      </w:pPr>
      <w:r>
        <w:t xml:space="preserve">52 AML/TM scenarios</w:t>
      </w:r>
    </w:p>
    <w:p>
      <w:pPr>
        <w:pStyle w:val="Compact"/>
        <w:numPr>
          <w:ilvl w:val="0"/>
          <w:numId w:val="1004"/>
        </w:numPr>
      </w:pPr>
      <w:r>
        <w:t xml:space="preserve">Terminal Assurance passing</w:t>
      </w:r>
    </w:p>
    <w:p>
      <w:pPr>
        <w:pStyle w:val="Compact"/>
        <w:numPr>
          <w:ilvl w:val="0"/>
          <w:numId w:val="1004"/>
        </w:numPr>
      </w:pPr>
      <w:r>
        <w:t xml:space="preserve">Repository evidence of maturity</w:t>
      </w:r>
    </w:p>
    <w:p>
      <w:pPr>
        <w:pStyle w:val="Compact"/>
        <w:numPr>
          <w:ilvl w:val="0"/>
          <w:numId w:val="1004"/>
        </w:numPr>
      </w:pPr>
      <w:r>
        <w:t xml:space="preserve">Comprehensive documentation</w:t>
      </w:r>
    </w:p>
    <w:p>
      <w:pPr>
        <w:pStyle w:val="Heading2"/>
      </w:pPr>
      <w:bookmarkStart w:id="20" w:name="_team"/>
      <w:r>
        <w:t xml:space="preserve">6. Team</w:t>
      </w:r>
    </w:p>
    <w:p>
      <w:pPr>
        <w:pStyle w:val="FirstParagraph"/>
      </w:pPr>
      <w:r>
        <w:rPr>
          <w:b/>
          <w:bCs/>
        </w:rPr>
        <w:t xml:space="preserve">Founder &amp; CEO:</w:t>
      </w:r>
      <w:r>
        <w:t xml:space="preserve"> </w:t>
      </w:r>
      <w:r>
        <w:t xml:space="preserve">Mohamed Abdo</w:t>
      </w:r>
      <w:r>
        <w:t xml:space="preserve"> </w:t>
      </w:r>
      <w:r>
        <w:t xml:space="preserve">- 20 years experience</w:t>
      </w:r>
      <w:r>
        <w:t xml:space="preserve"> </w:t>
      </w:r>
      <w:r>
        <w:t xml:space="preserve">- 12 years in KSA market</w:t>
      </w:r>
      <w:r>
        <w:t xml:space="preserve"> </w:t>
      </w:r>
      <w:r>
        <w:t xml:space="preserve">- Domain: fintech, compliance, commercial execution</w:t>
      </w:r>
      <w:r>
        <w:t xml:space="preserve"> </w:t>
      </w:r>
      <w:r>
        <w:t xml:space="preserve">- Track record: ELM/Rowad, Dhamim</w:t>
      </w:r>
    </w:p>
    <w:p>
      <w:pPr>
        <w:pStyle w:val="BodyText"/>
      </w:pPr>
      <w:r>
        <w:rPr>
          <w:b/>
          <w:bCs/>
        </w:rPr>
        <w:t xml:space="preserve">Hiring Plan Post-Raise:</w:t>
      </w:r>
      <w:r>
        <w:t xml:space="preserve"> </w:t>
      </w:r>
      <w:r>
        <w:t xml:space="preserve">- VP Engineering</w:t>
      </w:r>
      <w:r>
        <w:t xml:space="preserve"> </w:t>
      </w:r>
      <w:r>
        <w:t xml:space="preserve">- Head of Security</w:t>
      </w:r>
      <w:r>
        <w:t xml:space="preserve"> </w:t>
      </w:r>
      <w:r>
        <w:t xml:space="preserve">- Head of Sales (KSA)</w:t>
      </w:r>
      <w:r>
        <w:t xml:space="preserve"> </w:t>
      </w:r>
      <w:r>
        <w:t xml:space="preserve">- Senior Backend x2</w:t>
      </w:r>
      <w:r>
        <w:t xml:space="preserve"> </w:t>
      </w:r>
      <w:r>
        <w:t xml:space="preserve">- Compliance Officer</w:t>
      </w:r>
    </w:p>
    <w:p>
      <w:pPr>
        <w:pStyle w:val="Heading2"/>
      </w:pPr>
      <w:bookmarkStart w:id="21" w:name="_3bbe2c198a70539b2a0dcb8826f36467ae73609"/>
      <w:r>
        <w:t xml:space="preserve">7. Financial Model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Y4</w:t>
            </w:r>
          </w:p>
        </w:tc>
        <w:tc>
          <w:tcPr/>
          <w:p>
            <w:pPr>
              <w:pStyle w:val="Compact"/>
            </w:pPr>
            <w:r>
              <w:t xml:space="preserve">Y5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Revenue (SAR M)</w:t>
            </w:r>
          </w:p>
        </w:tc>
        <w:tc>
          <w:tcPr/>
          <w:p>
            <w:pPr>
              <w:pStyle w:val="Compact"/>
            </w:pPr>
            <w:r>
              <w:t xml:space="preserve">0.75</w:t>
            </w:r>
          </w:p>
        </w:tc>
        <w:tc>
          <w:tcPr/>
          <w:p>
            <w:pPr>
              <w:pStyle w:val="Compact"/>
            </w:pPr>
            <w:r>
              <w:t xml:space="preserve">4.0</w:t>
            </w:r>
          </w:p>
        </w:tc>
        <w:tc>
          <w:tcPr/>
          <w:p>
            <w:pPr>
              <w:pStyle w:val="Compact"/>
            </w:pPr>
            <w:r>
              <w:t xml:space="preserve">13.0</w:t>
            </w:r>
          </w:p>
        </w:tc>
        <w:tc>
          <w:tcPr/>
          <w:p>
            <w:pPr>
              <w:pStyle w:val="Compact"/>
            </w:pPr>
            <w:r>
              <w:t xml:space="preserve">34.0</w:t>
            </w:r>
          </w:p>
        </w:tc>
        <w:tc>
          <w:tcPr/>
          <w:p>
            <w:pPr>
              <w:pStyle w:val="Compact"/>
            </w:pPr>
            <w:r>
              <w:t xml:space="preserve">77.0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EBITDA (SAR M)</w:t>
            </w:r>
          </w:p>
        </w:tc>
        <w:tc>
          <w:tcPr/>
          <w:p>
            <w:pPr>
              <w:pStyle w:val="Compact"/>
            </w:pPr>
            <w:r>
              <w:t xml:space="preserve">(5.4)</w:t>
            </w:r>
          </w:p>
        </w:tc>
        <w:tc>
          <w:tcPr/>
          <w:p>
            <w:pPr>
              <w:pStyle w:val="Compact"/>
            </w:pPr>
            <w:r>
              <w:t xml:space="preserve">(8.4)</w:t>
            </w:r>
          </w:p>
        </w:tc>
        <w:tc>
          <w:tcPr/>
          <w:p>
            <w:pPr>
              <w:pStyle w:val="Compact"/>
            </w:pPr>
            <w:r>
              <w:t xml:space="preserve">(10.5)</w:t>
            </w:r>
          </w:p>
        </w:tc>
        <w:tc>
          <w:tcPr/>
          <w:p>
            <w:pPr>
              <w:pStyle w:val="Compact"/>
            </w:pPr>
            <w:r>
              <w:t xml:space="preserve">(8.0)</w:t>
            </w:r>
          </w:p>
        </w:tc>
        <w:tc>
          <w:tcPr/>
          <w:p>
            <w:pPr>
              <w:pStyle w:val="Compact"/>
            </w:pPr>
            <w:r>
              <w:t xml:space="preserve">4.0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Customers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Headcount</w:t>
            </w:r>
          </w:p>
        </w:tc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85</w:t>
            </w:r>
          </w:p>
        </w:tc>
      </w:tr>
    </w:tbl>
    <w:p>
      <w:pPr>
        <w:pStyle w:val="Heading2"/>
      </w:pPr>
      <w:bookmarkStart w:id="22" w:name="_bd85d16ccd6353052256fcc5b7a0f4df6bbeaa5"/>
      <w:r>
        <w:t xml:space="preserve">8. Investment Terms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Pre-money</w:t>
            </w:r>
          </w:p>
        </w:tc>
        <w:tc>
          <w:tcPr/>
          <w:p>
            <w:pPr>
              <w:pStyle w:val="Compact"/>
            </w:pPr>
            <w:r>
              <w:t xml:space="preserve">SAR 30,000,000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Investment</w:t>
            </w:r>
          </w:p>
        </w:tc>
        <w:tc>
          <w:tcPr/>
          <w:p>
            <w:pPr>
              <w:pStyle w:val="Compact"/>
            </w:pPr>
            <w:r>
              <w:t xml:space="preserve">SAR 7,500,000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Post-money</w:t>
            </w:r>
          </w:p>
        </w:tc>
        <w:tc>
          <w:tcPr/>
          <w:p>
            <w:pPr>
              <w:pStyle w:val="Compact"/>
            </w:pPr>
            <w:r>
              <w:t xml:space="preserve">SAR 37,500,000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Investor ownership</w:t>
            </w:r>
          </w:p>
        </w:tc>
        <w:tc>
          <w:tcPr/>
          <w:p>
            <w:pPr>
              <w:pStyle w:val="Compact"/>
            </w:pPr>
            <w:r>
              <w:t xml:space="preserve">20%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</w:t>
            </w:r>
          </w:p>
        </w:tc>
        <w:tc>
          <w:tcPr/>
          <w:p>
            <w:pPr>
              <w:pStyle w:val="Compact"/>
            </w:pPr>
            <w:r>
              <w:t xml:space="preserve">Series Seed Preferred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Liquidation Pref</w:t>
            </w:r>
          </w:p>
        </w:tc>
        <w:tc>
          <w:tcPr/>
          <w:p>
            <w:pPr>
              <w:pStyle w:val="Compact"/>
            </w:pPr>
            <w:r>
              <w:t xml:space="preserve">1x non-participating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Board</w:t>
            </w:r>
          </w:p>
        </w:tc>
        <w:tc>
          <w:tcPr/>
          <w:p>
            <w:pPr>
              <w:pStyle w:val="Compact"/>
            </w:pPr>
            <w:r>
              <w:t xml:space="preserve">3 (2F, 1I)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ESOP</w:t>
            </w:r>
          </w:p>
        </w:tc>
        <w:tc>
          <w:tcPr/>
          <w:p>
            <w:pPr>
              <w:pStyle w:val="Compact"/>
            </w:pPr>
            <w:r>
              <w:t xml:space="preserve">10% pre-money</w:t>
            </w:r>
          </w:p>
        </w:tc>
      </w:tr>
    </w:tbl>
    <w:p>
      <w:pPr>
        <w:pStyle w:val="Heading2"/>
      </w:pPr>
      <w:bookmarkStart w:id="23" w:name="_3b8c242903304135c47fd2b218fa417ed75df07"/>
      <w:r>
        <w:t xml:space="preserve">9. Use of Proceeds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%</w:t>
            </w:r>
          </w:p>
        </w:tc>
        <w:tc>
          <w:tcPr/>
          <w:p>
            <w:pPr>
              <w:pStyle w:val="Compact"/>
            </w:pPr>
            <w:r>
              <w:t xml:space="preserve">Amount (SAR)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Team</w:t>
            </w:r>
          </w:p>
        </w:tc>
        <w:tc>
          <w:tcPr/>
          <w:p>
            <w:pPr>
              <w:pStyle w:val="Compact"/>
            </w:pPr>
            <w:r>
              <w:t xml:space="preserve">40%</w:t>
            </w:r>
          </w:p>
        </w:tc>
        <w:tc>
          <w:tcPr/>
          <w:p>
            <w:pPr>
              <w:pStyle w:val="Compact"/>
            </w:pPr>
            <w:r>
              <w:t xml:space="preserve">3,000,000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</w:t>
            </w:r>
          </w:p>
        </w:tc>
        <w:tc>
          <w:tcPr/>
          <w:p>
            <w:pPr>
              <w:pStyle w:val="Compact"/>
            </w:pPr>
            <w:r>
              <w:t xml:space="preserve">20%</w:t>
            </w:r>
          </w:p>
        </w:tc>
        <w:tc>
          <w:tcPr/>
          <w:p>
            <w:pPr>
              <w:pStyle w:val="Compact"/>
            </w:pPr>
            <w:r>
              <w:t xml:space="preserve">1,500,000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Product</w:t>
            </w:r>
          </w:p>
        </w:tc>
        <w:tc>
          <w:tcPr/>
          <w:p>
            <w:pPr>
              <w:pStyle w:val="Compact"/>
            </w:pPr>
            <w:r>
              <w:t xml:space="preserve">15%</w:t>
            </w:r>
          </w:p>
        </w:tc>
        <w:tc>
          <w:tcPr/>
          <w:p>
            <w:pPr>
              <w:pStyle w:val="Compact"/>
            </w:pPr>
            <w:r>
              <w:t xml:space="preserve">1,125,000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GTM</w:t>
            </w:r>
          </w:p>
        </w:tc>
        <w:tc>
          <w:tcPr/>
          <w:p>
            <w:pPr>
              <w:pStyle w:val="Compact"/>
            </w:pPr>
            <w:r>
              <w:t xml:space="preserve">15%</w:t>
            </w:r>
          </w:p>
        </w:tc>
        <w:tc>
          <w:tcPr/>
          <w:p>
            <w:pPr>
              <w:pStyle w:val="Compact"/>
            </w:pPr>
            <w:r>
              <w:t xml:space="preserve">1,125,000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WC</w:t>
            </w:r>
          </w:p>
        </w:tc>
        <w:tc>
          <w:tcPr/>
          <w:p>
            <w:pPr>
              <w:pStyle w:val="Compact"/>
            </w:pPr>
            <w:r>
              <w:t xml:space="preserve">10%</w:t>
            </w:r>
          </w:p>
        </w:tc>
        <w:tc>
          <w:tcPr/>
          <w:p>
            <w:pPr>
              <w:pStyle w:val="Compact"/>
            </w:pPr>
            <w:r>
              <w:t xml:space="preserve">750,000</w:t>
            </w:r>
          </w:p>
        </w:tc>
      </w:tr>
    </w:tbl>
    <w:p>
      <w:pPr>
        <w:pStyle w:val="Heading2"/>
      </w:pPr>
      <w:bookmarkStart w:id="24" w:name="_risks"/>
      <w:r>
        <w:t xml:space="preserve">10. Risks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Risk</w:t>
            </w:r>
          </w:p>
        </w:tc>
        <w:tc>
          <w:tcPr/>
          <w:p>
            <w:pPr>
              <w:pStyle w:val="Compact"/>
            </w:pPr>
            <w:r>
              <w:t xml:space="preserve">Severity</w:t>
            </w:r>
          </w:p>
        </w:tc>
        <w:tc>
          <w:tcPr/>
          <w:p>
            <w:pPr>
              <w:pStyle w:val="Compact"/>
            </w:pPr>
            <w:r>
              <w:t xml:space="preserve">Mitigation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Pre-revenue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Milestone funding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customers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Focus FinTech first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Sales cycles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  <w:tc>
          <w:tcPr/>
          <w:p>
            <w:pPr>
              <w:pStyle w:val="Compact"/>
            </w:pPr>
            <w:r>
              <w:t xml:space="preserve">Parallel pipeline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Competition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  <w:tc>
          <w:tcPr/>
          <w:p>
            <w:pPr>
              <w:pStyle w:val="Compact"/>
            </w:pPr>
            <w:r>
              <w:t xml:space="preserve">Decision differentiation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Regulatory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  <w:tc>
          <w:tcPr/>
          <w:p>
            <w:pPr>
              <w:pStyle w:val="Compact"/>
            </w:pPr>
            <w:r>
              <w:t xml:space="preserve">Design-for-alignment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Key-person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Vesting + hiring</w:t>
            </w:r>
          </w:p>
        </w:tc>
      </w:tr>
    </w:tbl>
    <w:p>
      <w:pPr>
        <w:pStyle w:val="Heading2"/>
      </w:pPr>
      <w:bookmarkStart w:id="25" w:name="_13d1360ef76ce27131d123ea95970cc5fad4d55"/>
      <w:r>
        <w:t xml:space="preserve">11. Exit Scenarios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Scenario</w:t>
            </w:r>
          </w:p>
        </w:tc>
        <w:tc>
          <w:tcPr/>
          <w:p>
            <w:pPr>
              <w:pStyle w:val="Compact"/>
            </w:pPr>
            <w:r>
              <w:t xml:space="preserve">Y5 Value (SAR M)</w:t>
            </w:r>
          </w:p>
        </w:tc>
        <w:tc>
          <w:tcPr/>
          <w:p>
            <w:pPr>
              <w:pStyle w:val="Compact"/>
            </w:pPr>
            <w:r>
              <w:t xml:space="preserve">Investor Return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Conservative</w:t>
            </w:r>
          </w:p>
        </w:tc>
        <w:tc>
          <w:tcPr/>
          <w:p>
            <w:pPr>
              <w:pStyle w:val="Compact"/>
            </w:pPr>
            <w:r>
              <w:t xml:space="preserve">385</w:t>
            </w:r>
          </w:p>
        </w:tc>
        <w:tc>
          <w:tcPr/>
          <w:p>
            <w:pPr>
              <w:pStyle w:val="Compact"/>
            </w:pPr>
            <w:r>
              <w:t xml:space="preserve">6.1x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Base</w:t>
            </w:r>
          </w:p>
        </w:tc>
        <w:tc>
          <w:tcPr/>
          <w:p>
            <w:pPr>
              <w:pStyle w:val="Compact"/>
            </w:pPr>
            <w:r>
              <w:t xml:space="preserve">616</w:t>
            </w:r>
          </w:p>
        </w:tc>
        <w:tc>
          <w:tcPr/>
          <w:p>
            <w:pPr>
              <w:pStyle w:val="Compact"/>
            </w:pPr>
            <w:r>
              <w:t xml:space="preserve">9.9x</w:t>
            </w:r>
          </w:p>
        </w:tc>
      </w:tr>
      <w:tr>
        <w:tc>
          <w:tcPr/>
          <w:p>
            <w:pPr>
              <w:pStyle w:val="Compact"/>
            </w:pPr>
            <w:r>
              <w:t xml:space="preserve">Aggressive</w:t>
            </w:r>
          </w:p>
        </w:tc>
        <w:tc>
          <w:tcPr/>
          <w:p>
            <w:pPr>
              <w:pStyle w:val="Compact"/>
            </w:pPr>
            <w:r>
              <w:t xml:space="preserve">800</w:t>
            </w:r>
          </w:p>
        </w:tc>
        <w:tc>
          <w:tcPr/>
          <w:p>
            <w:pPr>
              <w:pStyle w:val="Compact"/>
            </w:pPr>
            <w:r>
              <w:t xml:space="preserve">12.8x</w:t>
            </w:r>
          </w:p>
        </w:tc>
      </w:tr>
      <w:tr>
        <w:tc>
          <w:tcPr/>
          <w:p>
            <w:pPr>
              <w:pStyle w:val="Compact"/>
            </w:pPr>
            <w:r>
              <w:t xml:space="preserve">IPO</w:t>
            </w:r>
          </w:p>
        </w:tc>
        <w:tc>
          <w:tcPr/>
          <w:p>
            <w:pPr>
              <w:pStyle w:val="Compact"/>
            </w:pPr>
            <w:r>
              <w:t xml:space="preserve">1,500</w:t>
            </w:r>
          </w:p>
        </w:tc>
        <w:tc>
          <w:tcPr/>
          <w:p>
            <w:pPr>
              <w:pStyle w:val="Compact"/>
            </w:pPr>
            <w:r>
              <w:t xml:space="preserve">16.0x</w:t>
            </w:r>
          </w:p>
        </w:tc>
      </w:tr>
    </w:tbl>
    <w:p>
      <w:pPr>
        <w:pStyle w:val="Heading2"/>
      </w:pPr>
      <w:bookmarkStart w:id="26" w:name="_recommendation"/>
      <w:r>
        <w:t xml:space="preserve">12. Recommendation</w:t>
      </w:r>
    </w:p>
    <w:p>
      <w:pPr>
        <w:pStyle w:val="FirstParagraph"/>
      </w:pPr>
      <w:r>
        <w:rPr>
          <w:b/>
          <w:bCs/>
        </w:rPr>
        <w:t xml:space="preserve">Recommendation:</w:t>
      </w:r>
      <w:r>
        <w:t xml:space="preserve"> </w:t>
      </w:r>
      <w:r>
        <w:t xml:space="preserve">Proceed with investment consideration.</w:t>
      </w:r>
      <w:r>
        <w:t xml:space="preserve"> </w:t>
      </w:r>
      <w:r>
        <w:rPr>
          <w:b/>
          <w:bCs/>
        </w:rPr>
        <w:t xml:space="preserve">Rationale:</w:t>
      </w:r>
      <w:r>
        <w:t xml:space="preserve"> </w:t>
      </w:r>
      <w:r>
        <w:t xml:space="preserve">Strong technical asset, large addressable market, conservative entry valuation, experienced founder, structured governance.</w:t>
      </w:r>
    </w:p>
    <w:p>
      <w:pPr>
        <w:pStyle w:val="BodyText"/>
      </w:pPr>
      <w:r>
        <w:rPr>
          <w:b/>
          <w:bCs/>
        </w:rPr>
        <w:t xml:space="preserve">Next Steps:</w:t>
      </w:r>
      <w:r>
        <w:t xml:space="preserve"> </w:t>
      </w:r>
      <w:r>
        <w:t xml:space="preserve">1. Term sheet negotiation</w:t>
      </w:r>
      <w:r>
        <w:t xml:space="preserve"> </w:t>
      </w:r>
      <w:r>
        <w:t xml:space="preserve">2. Due diligence</w:t>
      </w:r>
      <w:r>
        <w:t xml:space="preserve"> </w:t>
      </w:r>
      <w:r>
        <w:t xml:space="preserve">3. Definitive agreements</w:t>
      </w:r>
      <w:r>
        <w:t xml:space="preserve"> </w:t>
      </w:r>
      <w:r>
        <w:t xml:space="preserve">4. Closing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This memorandum is prepared for discussion purposes. Not a binding offer. All terms subject to definitive agreements and due diligence.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Investor Relations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 Full Memorandum</dc:title>
  <dc:creator>HISN Platform</dc:creator>
  <cp:keywords>HISN, FCDOS, financial crime, decision operating system</cp:keywords>
  <dcterms:created xsi:type="dcterms:W3CDTF">2026-10-14T09:35:05Z</dcterms:created>
  <dcterms:modified xsi:type="dcterms:W3CDTF">2026-10-14T09:35:05Z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