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02_Investor_FAQ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6c22b5aaa211c686728aed9c22bafb3b473afc8"/>
      <w:r>
        <w:t xml:space="preserve">INVESTOR FAQ — VALUATION DEFENSE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adc756df47930d9d38963650847992f006468d5"/>
      <w:r>
        <w:t xml:space="preserve">1. Why SAR 30M Pre-Money?</w:t>
      </w:r>
    </w:p>
    <w:p>
      <w:pPr>
        <w:pStyle w:val="FirstParagraph"/>
      </w:pPr>
      <w:r>
        <w:rPr>
          <w:b/>
          <w:bCs/>
        </w:rPr>
        <w:t xml:space="preserve">Answer:</w:t>
      </w:r>
      <w:r>
        <w:t xml:space="preserve"> </w:t>
      </w:r>
      <w:r>
        <w:t xml:space="preserve">The anchor is triangulated across five methodologies (replacement cost, IP scorecard, market comps, DCF, precedent transactions) producing a composite range of SAR 45-100M. We selected SAR 30M to:</w:t>
      </w:r>
      <w:r>
        <w:t xml:space="preserve"> </w:t>
      </w:r>
      <w:r>
        <w:t xml:space="preserve">- Provide investor margin of safety</w:t>
      </w:r>
      <w:r>
        <w:t xml:space="preserve"> </w:t>
      </w:r>
      <w:r>
        <w:t xml:space="preserve">- Attract value-add strategic investors</w:t>
      </w:r>
      <w:r>
        <w:t xml:space="preserve"> </w:t>
      </w:r>
      <w:r>
        <w:t xml:space="preserve">- Align with KSA early-stage benchmarks</w:t>
      </w:r>
      <w:r>
        <w:t xml:space="preserve"> </w:t>
      </w:r>
      <w:r>
        <w:t xml:space="preserve">- Leave room for Series A uplift</w:t>
      </w:r>
      <w:r>
        <w:t xml:space="preserve"> </w:t>
      </w:r>
      <w:r>
        <w:t xml:space="preserve">- Reflect execution risk (pre-revenue)</w:t>
      </w:r>
    </w:p>
    <w:p>
      <w:pPr>
        <w:pStyle w:val="Heading2"/>
      </w:pPr>
      <w:bookmarkStart w:id="11" w:name="_8b5758ed6a1726a4bab33afa00fc8fe0fc2b259"/>
      <w:r>
        <w:t xml:space="preserve">2. What Is the Asset-Backed Floor?</w:t>
      </w:r>
    </w:p>
    <w:p>
      <w:pPr>
        <w:pStyle w:val="FirstParagraph"/>
      </w:pPr>
      <w:r>
        <w:rPr>
          <w:b/>
          <w:bCs/>
        </w:rPr>
        <w:t xml:space="preserve">Answer:</w:t>
      </w:r>
      <w:r>
        <w:t xml:space="preserve"> </w:t>
      </w:r>
      <w:r>
        <w:t xml:space="preserve">Replacement cost analysis indicates SAR 25M is the floor:</w:t>
      </w:r>
      <w:r>
        <w:t xml:space="preserve"> </w:t>
      </w:r>
      <w:r>
        <w:t xml:space="preserve">- 66,502 lines of production Python code</w:t>
      </w:r>
      <w:r>
        <w:t xml:space="preserve"> </w:t>
      </w:r>
      <w:r>
        <w:t xml:space="preserve">- 23,240 lines of TypeScript</w:t>
      </w:r>
      <w:r>
        <w:t xml:space="preserve"> </w:t>
      </w:r>
      <w:r>
        <w:t xml:space="preserve">- 280+ test suites</w:t>
      </w:r>
      <w:r>
        <w:t xml:space="preserve"> </w:t>
      </w:r>
      <w:r>
        <w:t xml:space="preserve">- 46 migrations</w:t>
      </w:r>
      <w:r>
        <w:t xml:space="preserve"> </w:t>
      </w:r>
      <w:r>
        <w:t xml:space="preserve">- 830+ documentation files</w:t>
      </w:r>
      <w:r>
        <w:t xml:space="preserve"> </w:t>
      </w:r>
      <w:r>
        <w:t xml:space="preserve">- Multi-domain validation (bank + insurance + exchange)</w:t>
      </w:r>
    </w:p>
    <w:p>
      <w:pPr>
        <w:pStyle w:val="BodyText"/>
      </w:pPr>
      <w:r>
        <w:t xml:space="preserve">Rebuilding this would take 18-24 months and SAR 23.8M at market rates.</w:t>
      </w:r>
    </w:p>
    <w:p>
      <w:pPr>
        <w:pStyle w:val="Heading2"/>
      </w:pPr>
      <w:bookmarkStart w:id="12" w:name="_7ab1b93531fb47bc4ce1bcb997fa26fdefb9d45"/>
      <w:r>
        <w:t xml:space="preserve">3. How Does This Compare to Global SaaS?</w:t>
      </w:r>
    </w:p>
    <w:p>
      <w:pPr>
        <w:pStyle w:val="FirstParagraph"/>
      </w:pPr>
      <w:r>
        <w:rPr>
          <w:b/>
          <w:bCs/>
        </w:rPr>
        <w:t xml:space="preserve">Answer:</w:t>
      </w:r>
      <w:r>
        <w:t xml:space="preserve"> </w:t>
      </w:r>
      <w:r>
        <w:t xml:space="preserve">HISN’s entry multiple is significantly below global SaaS:</w:t>
      </w:r>
      <w:r>
        <w:t xml:space="preserve"> </w:t>
      </w:r>
      <w:r>
        <w:t xml:space="preserve">- HISN: 2.3x Y3 forward revenue</w:t>
      </w:r>
      <w:r>
        <w:t xml:space="preserve"> </w:t>
      </w:r>
      <w:r>
        <w:t xml:space="preserve">- Global SaaS median: 8.7x revenue</w:t>
      </w:r>
      <w:r>
        <w:t xml:space="preserve"> </w:t>
      </w:r>
      <w:r>
        <w:t xml:space="preserve">- HISN: 39x Y1 ARR (early stage)</w:t>
      </w:r>
      <w:r>
        <w:t xml:space="preserve"> </w:t>
      </w:r>
      <w:r>
        <w:t xml:space="preserve">- Global SaaS: 6-10x ARR (mature)</w:t>
      </w:r>
    </w:p>
    <w:p>
      <w:pPr>
        <w:pStyle w:val="BodyText"/>
      </w:pPr>
      <w:r>
        <w:t xml:space="preserve">The discount reflects early-stage risk.</w:t>
      </w:r>
    </w:p>
    <w:p>
      <w:pPr>
        <w:pStyle w:val="Heading2"/>
      </w:pPr>
      <w:bookmarkStart w:id="13" w:name="_6da63f4634499eadb89fc604412f946e9eda9e8"/>
      <w:r>
        <w:t xml:space="preserve">4. What Justifies the Premium Over KSA Peers?</w:t>
      </w:r>
    </w:p>
    <w:p>
      <w:pPr>
        <w:pStyle w:val="FirstParagraph"/>
      </w:pPr>
      <w:r>
        <w:rPr>
          <w:b/>
          <w:bCs/>
        </w:rPr>
        <w:t xml:space="preserve">Answer:</w:t>
      </w:r>
      <w:r>
        <w:t xml:space="preserve"> </w:t>
      </w:r>
      <w:r>
        <w:t xml:space="preserve">Three factors: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Technical asset</w:t>
      </w:r>
      <w:r>
        <w:t xml:space="preserve"> </w:t>
      </w:r>
      <w:r>
        <w:t xml:space="preserve">— built, not idea-stage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Multi-domain validation</w:t>
      </w:r>
      <w:r>
        <w:t xml:space="preserve"> </w:t>
      </w:r>
      <w:r>
        <w:t xml:space="preserve">— bank + insurance + exchange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Governance discipline</w:t>
      </w:r>
      <w:r>
        <w:t xml:space="preserve"> </w:t>
      </w:r>
      <w:r>
        <w:t xml:space="preserve">— institutional-grade documentation</w:t>
      </w:r>
    </w:p>
    <w:p>
      <w:pPr>
        <w:pStyle w:val="BodyText"/>
      </w:pPr>
      <w:r>
        <w:t xml:space="preserve">Typical KSA Seed is SAR 15-25M. HISN at SAR 30M is at top of range justified by asset depth.</w:t>
      </w:r>
    </w:p>
    <w:p>
      <w:pPr>
        <w:pStyle w:val="Heading2"/>
      </w:pPr>
      <w:bookmarkStart w:id="14" w:name="_8cd011485282070a821799326fd158c88f06335"/>
      <w:r>
        <w:t xml:space="preserve">5. What Are the Downside Protections?</w:t>
      </w:r>
    </w:p>
    <w:p>
      <w:pPr>
        <w:pStyle w:val="FirstParagraph"/>
      </w:pPr>
      <w:r>
        <w:rPr>
          <w:b/>
          <w:bCs/>
        </w:rPr>
        <w:t xml:space="preserve">Answer:</w:t>
      </w:r>
      <w:r>
        <w:t xml:space="preserve"> </w:t>
      </w:r>
      <w:r>
        <w:t xml:space="preserve">- 1x non-participating liquidation preference</w:t>
      </w:r>
      <w:r>
        <w:t xml:space="preserve"> </w:t>
      </w:r>
      <w:r>
        <w:t xml:space="preserve">- Broad-based weighted average anti-dilution</w:t>
      </w:r>
      <w:r>
        <w:t xml:space="preserve"> </w:t>
      </w:r>
      <w:r>
        <w:t xml:space="preserve">- Board representation (1 of 3)</w:t>
      </w:r>
      <w:r>
        <w:t xml:space="preserve"> </w:t>
      </w:r>
      <w:r>
        <w:t xml:space="preserve">- Pro-rata rights for future rounds</w:t>
      </w:r>
      <w:r>
        <w:t xml:space="preserve"> </w:t>
      </w:r>
      <w:r>
        <w:t xml:space="preserve">- Protective provisions on major decisions</w:t>
      </w:r>
      <w:r>
        <w:t xml:space="preserve"> </w:t>
      </w:r>
      <w:r>
        <w:t xml:space="preserve">- Information rights (monthly/quarterly)</w:t>
      </w:r>
    </w:p>
    <w:p>
      <w:pPr>
        <w:pStyle w:val="Heading2"/>
      </w:pPr>
      <w:bookmarkStart w:id="15" w:name="_759732c7a2ece0bcc0b002b77199237e3729125"/>
      <w:r>
        <w:t xml:space="preserve">6. What Triggers a Valuation Uplift?</w:t>
      </w:r>
    </w:p>
    <w:p>
      <w:pPr>
        <w:pStyle w:val="FirstParagraph"/>
      </w:pPr>
      <w:r>
        <w:rPr>
          <w:b/>
          <w:bCs/>
        </w:rPr>
        <w:t xml:space="preserve">Answer:</w:t>
      </w:r>
      <w:r>
        <w:t xml:space="preserve"> </w:t>
      </w:r>
      <w:r>
        <w:t xml:space="preserve">| Trigger | Uplift |</w:t>
      </w:r>
      <w:r>
        <w:t xml:space="preserve"> </w:t>
      </w:r>
      <w:r>
        <w:t xml:space="preserve">|—|—|</w:t>
      </w:r>
      <w:r>
        <w:t xml:space="preserve"> </w:t>
      </w:r>
      <w:r>
        <w:t xml:space="preserve">| First paid pilot | +20% |</w:t>
      </w:r>
      <w:r>
        <w:t xml:space="preserve"> </w:t>
      </w:r>
      <w:r>
        <w:t xml:space="preserve">| Reference customer | +50% |</w:t>
      </w:r>
      <w:r>
        <w:t xml:space="preserve"> </w:t>
      </w:r>
      <w:r>
        <w:t xml:space="preserve">| Series A lead committed | +100% |</w:t>
      </w:r>
      <w:r>
        <w:t xml:space="preserve"> </w:t>
      </w:r>
      <w:r>
        <w:t xml:space="preserve">| Multi-year contract | +30% |</w:t>
      </w:r>
    </w:p>
    <w:p>
      <w:pPr>
        <w:pStyle w:val="Heading2"/>
      </w:pPr>
      <w:bookmarkStart w:id="16" w:name="_8f2be4bac869e00a4e5f6fe63f662d4cd3221e5"/>
      <w:r>
        <w:t xml:space="preserve">7. How Do We Get to Series A?</w:t>
      </w:r>
    </w:p>
    <w:p>
      <w:pPr>
        <w:pStyle w:val="FirstParagraph"/>
      </w:pPr>
      <w:r>
        <w:rPr>
          <w:b/>
          <w:bCs/>
        </w:rPr>
        <w:t xml:space="preserve">Answer:</w:t>
      </w:r>
      <w:r>
        <w:t xml:space="preserve"> </w:t>
      </w:r>
      <w:r>
        <w:t xml:space="preserve">Milestone path:</w:t>
      </w:r>
      <w:r>
        <w:t xml:space="preserve"> </w:t>
      </w:r>
      <w:r>
        <w:t xml:space="preserve">- Month 6: M2 Resilience complete</w:t>
      </w:r>
      <w:r>
        <w:t xml:space="preserve"> </w:t>
      </w:r>
      <w:r>
        <w:t xml:space="preserve">- Month 9: Bank Technical POC</w:t>
      </w:r>
      <w:r>
        <w:t xml:space="preserve"> </w:t>
      </w:r>
      <w:r>
        <w:t xml:space="preserve">- Month 12-15: Paid Pilot</w:t>
      </w:r>
      <w:r>
        <w:t xml:space="preserve"> </w:t>
      </w:r>
      <w:r>
        <w:t xml:space="preserve">- Month 18: Series A ready (ARR &gt; SAR 4M)</w:t>
      </w:r>
    </w:p>
    <w:p>
      <w:pPr>
        <w:pStyle w:val="BodyText"/>
      </w:pPr>
      <w:r>
        <w:t xml:space="preserve">Series A target: SAR 25M+ at SAR 100M+ pre-money.</w:t>
      </w:r>
    </w:p>
    <w:p>
      <w:pPr>
        <w:pStyle w:val="Heading2"/>
      </w:pPr>
      <w:bookmarkStart w:id="17" w:name="_3cb3a2985ce60ba17adaa544c7574fa33ae7d89"/>
      <w:r>
        <w:t xml:space="preserve">8. What Is the Exit Path?</w:t>
      </w:r>
    </w:p>
    <w:p>
      <w:pPr>
        <w:pStyle w:val="FirstParagraph"/>
      </w:pPr>
      <w:r>
        <w:rPr>
          <w:b/>
          <w:bCs/>
        </w:rPr>
        <w:t xml:space="preserve">Answer:</w:t>
      </w:r>
      <w:r>
        <w:t xml:space="preserve"> </w:t>
      </w:r>
      <w:r>
        <w:t xml:space="preserve">Four scenarios:</w:t>
      </w:r>
      <w:r>
        <w:t xml:space="preserve"> </w:t>
      </w:r>
      <w:r>
        <w:t xml:space="preserve">| Exit | Y5 Value | Multiple |</w:t>
      </w:r>
      <w:r>
        <w:t xml:space="preserve"> </w:t>
      </w:r>
      <w:r>
        <w:t xml:space="preserve">|—|—|—|</w:t>
      </w:r>
      <w:r>
        <w:t xml:space="preserve"> </w:t>
      </w:r>
      <w:r>
        <w:t xml:space="preserve">| Conservative Trade Sale | SAR 385M | 6.1x |</w:t>
      </w:r>
      <w:r>
        <w:t xml:space="preserve"> </w:t>
      </w:r>
      <w:r>
        <w:t xml:space="preserve">| Base Trade Sale | SAR 616M | 9.9x |</w:t>
      </w:r>
      <w:r>
        <w:t xml:space="preserve"> </w:t>
      </w:r>
      <w:r>
        <w:t xml:space="preserve">| Aggressive Trade Sale | SAR 800M | 12.8x |</w:t>
      </w:r>
      <w:r>
        <w:t xml:space="preserve"> </w:t>
      </w:r>
      <w:r>
        <w:t xml:space="preserve">| IPO | SAR 1.5B | 16.0x |</w:t>
      </w:r>
    </w:p>
    <w:p>
      <w:pPr>
        <w:pStyle w:val="Heading2"/>
      </w:pPr>
      <w:bookmarkStart w:id="18" w:name="_89f69f26b9265809e5ad8dca929272eaed7ead4"/>
      <w:r>
        <w:t xml:space="preserve">9. Why Not Higher Valuation?</w:t>
      </w:r>
    </w:p>
    <w:p>
      <w:pPr>
        <w:pStyle w:val="FirstParagraph"/>
      </w:pPr>
      <w:r>
        <w:rPr>
          <w:b/>
          <w:bCs/>
        </w:rPr>
        <w:t xml:space="preserve">Answer:</w:t>
      </w:r>
      <w:r>
        <w:t xml:space="preserve"> </w:t>
      </w:r>
      <w:r>
        <w:t xml:space="preserve">A higher valuation would:</w:t>
      </w:r>
      <w:r>
        <w:t xml:space="preserve"> </w:t>
      </w:r>
      <w:r>
        <w:t xml:space="preserve">- Increase Series A pressure</w:t>
      </w:r>
      <w:r>
        <w:t xml:space="preserve"> </w:t>
      </w:r>
      <w:r>
        <w:t xml:space="preserve">- Reduce investor returns</w:t>
      </w:r>
      <w:r>
        <w:t xml:space="preserve"> </w:t>
      </w:r>
      <w:r>
        <w:t xml:space="preserve">- Signal over-optimism</w:t>
      </w:r>
      <w:r>
        <w:t xml:space="preserve"> </w:t>
      </w:r>
      <w:r>
        <w:t xml:space="preserve">- Attract wrong investors</w:t>
      </w:r>
    </w:p>
    <w:p>
      <w:pPr>
        <w:pStyle w:val="BodyText"/>
      </w:pPr>
      <w:r>
        <w:t xml:space="preserve">SAR 30M is intentionally positioned for strategic, value-add investors.</w:t>
      </w:r>
    </w:p>
    <w:p>
      <w:pPr>
        <w:pStyle w:val="Heading2"/>
      </w:pPr>
      <w:bookmarkStart w:id="19" w:name="_aa00a825b1013019193d95e5d57f2e22cf815a1"/>
      <w:r>
        <w:t xml:space="preserve">10. What If the Round Doesn’t Fill?</w:t>
      </w:r>
    </w:p>
    <w:p>
      <w:pPr>
        <w:pStyle w:val="FirstParagraph"/>
      </w:pPr>
      <w:r>
        <w:rPr>
          <w:b/>
          <w:bCs/>
        </w:rPr>
        <w:t xml:space="preserve">Answer:</w:t>
      </w:r>
      <w:r>
        <w:t xml:space="preserve"> </w:t>
      </w:r>
      <w:r>
        <w:t xml:space="preserve">Options:</w:t>
      </w:r>
      <w:r>
        <w:t xml:space="preserve"> </w:t>
      </w:r>
      <w:r>
        <w:t xml:space="preserve">- Bridge round (existing investors)</w:t>
      </w:r>
      <w:r>
        <w:t xml:space="preserve"> </w:t>
      </w:r>
      <w:r>
        <w:t xml:space="preserve">- Strategic investor at lower valuation</w:t>
      </w:r>
      <w:r>
        <w:t xml:space="preserve"> </w:t>
      </w:r>
      <w:r>
        <w:t xml:space="preserve">- Revenue-based financing</w:t>
      </w:r>
      <w:r>
        <w:t xml:space="preserve"> </w:t>
      </w:r>
      <w:r>
        <w:t xml:space="preserve">- Delay Series A by 6 months</w:t>
      </w:r>
      <w:r>
        <w:t xml:space="preserve"> </w:t>
      </w:r>
      <w:r>
        <w:t xml:space="preserve">- Reduce burn and extend runway</w:t>
      </w:r>
    </w:p>
    <w:p>
      <w:pPr>
        <w:pStyle w:val="Heading2"/>
      </w:pPr>
      <w:bookmarkStart w:id="20" w:name="_cbed8501e1e12f35a0a081a69dcc642fc3d99cd"/>
      <w:r>
        <w:t xml:space="preserve">11. How Do You Justify the 5-Year Projection?</w:t>
      </w:r>
    </w:p>
    <w:p>
      <w:pPr>
        <w:pStyle w:val="FirstParagraph"/>
      </w:pPr>
      <w:r>
        <w:rPr>
          <w:b/>
          <w:bCs/>
        </w:rPr>
        <w:t xml:space="preserve">Answer:</w:t>
      </w:r>
      <w:r>
        <w:t xml:space="preserve"> </w:t>
      </w:r>
      <w:r>
        <w:t xml:space="preserve">The financial model is:</w:t>
      </w:r>
      <w:r>
        <w:t xml:space="preserve"> </w:t>
      </w:r>
      <w:r>
        <w:t xml:space="preserve">- Bottom-up (customer-by-customer)</w:t>
      </w:r>
      <w:r>
        <w:t xml:space="preserve"> </w:t>
      </w:r>
      <w:r>
        <w:t xml:space="preserve">- Benchmark-based (ACV from market comps)</w:t>
      </w:r>
      <w:r>
        <w:t xml:space="preserve"> </w:t>
      </w:r>
      <w:r>
        <w:t xml:space="preserve">- Conservative (SAR 77M Y5 vs SAM of SAR 1.5B)</w:t>
      </w:r>
      <w:r>
        <w:t xml:space="preserve"> </w:t>
      </w:r>
      <w:r>
        <w:t xml:space="preserve">- Market-tested (SaaS metrics)</w:t>
      </w:r>
      <w:r>
        <w:t xml:space="preserve"> </w:t>
      </w:r>
      <w:r>
        <w:t xml:space="preserve">- Sensitivity-analyzed (bear/base/bull)</w:t>
      </w:r>
    </w:p>
    <w:p>
      <w:pPr>
        <w:pStyle w:val="Heading2"/>
      </w:pPr>
      <w:bookmarkStart w:id="21" w:name="_2a0d35eddbb6cac2dcaaed8e3a1ea89d65b2003"/>
      <w:r>
        <w:t xml:space="preserve">12. What Are the Biggest Valuation Risks?</w:t>
      </w:r>
    </w:p>
    <w:p>
      <w:pPr>
        <w:pStyle w:val="FirstParagraph"/>
      </w:pPr>
      <w:r>
        <w:rPr>
          <w:b/>
          <w:bCs/>
        </w:rPr>
        <w:t xml:space="preserve">Answer: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Execution risk</w:t>
      </w:r>
      <w:r>
        <w:t xml:space="preserve"> </w:t>
      </w:r>
      <w:r>
        <w:t xml:space="preserve">— milestones not yet proven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Market risk</w:t>
      </w:r>
      <w:r>
        <w:t xml:space="preserve"> </w:t>
      </w:r>
      <w:r>
        <w:t xml:space="preserve">— enterprise sales cycles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Competition</w:t>
      </w:r>
      <w:r>
        <w:t xml:space="preserve"> </w:t>
      </w:r>
      <w:r>
        <w:t xml:space="preserve">— global vendors entering KSA</w:t>
      </w:r>
      <w:r>
        <w:t xml:space="preserve"> </w:t>
      </w:r>
      <w:r>
        <w:t xml:space="preserve">4.</w:t>
      </w:r>
      <w:r>
        <w:t xml:space="preserve"> </w:t>
      </w:r>
      <w:r>
        <w:rPr>
          <w:b/>
          <w:bCs/>
        </w:rPr>
        <w:t xml:space="preserve">Regulatory</w:t>
      </w:r>
      <w:r>
        <w:t xml:space="preserve"> </w:t>
      </w:r>
      <w:r>
        <w:t xml:space="preserve">— framework changes</w:t>
      </w:r>
      <w:r>
        <w:t xml:space="preserve"> </w:t>
      </w:r>
      <w:r>
        <w:t xml:space="preserve">5.</w:t>
      </w:r>
      <w:r>
        <w:t xml:space="preserve"> </w:t>
      </w:r>
      <w:r>
        <w:rPr>
          <w:b/>
          <w:bCs/>
        </w:rPr>
        <w:t xml:space="preserve">Key-person</w:t>
      </w:r>
      <w:r>
        <w:t xml:space="preserve"> </w:t>
      </w:r>
      <w:r>
        <w:t xml:space="preserve">— founder dependency</w:t>
      </w:r>
    </w:p>
    <w:p>
      <w:pPr>
        <w:pStyle w:val="BodyText"/>
      </w:pPr>
      <w:r>
        <w:t xml:space="preserve">All disclosed in the Term Sheet and Investment Memo.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Prepared for investor due diligence. All figures are management estimates.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Investor FAQ</dc:title>
  <dc:creator>HISN Platform</dc:creator>
  <cp:keywords>HISN, FCDOS, financial crime, decision operating system</cp:keywords>
  <dcterms:created xsi:type="dcterms:W3CDTF">2026-10-14T09:43:12Z</dcterms:created>
  <dcterms:modified xsi:type="dcterms:W3CDTF">2026-10-14T09:43:12Z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