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02_M&amp;A_Landscape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cd371bde87693892bfa2344519faef490a1e659"/>
      <w:r>
        <w:t xml:space="preserve">M&amp;A LANDSCAPE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9967e60235c12f297e9ae64d3daafaf42e84f3f"/>
      <w:r>
        <w:t xml:space="preserve">1. Strategic Acquirers</w:t>
      </w:r>
    </w:p>
    <w:p>
      <w:pPr>
        <w:pStyle w:val="Heading3"/>
      </w:pPr>
      <w:bookmarkStart w:id="11" w:name="_89b21a78e49709a62a19aae216a0db2fc94496b"/>
      <w:r>
        <w:t xml:space="preserve">Global Tier-1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Acquirer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  <w:tc>
          <w:tcPr/>
          <w:p>
            <w:pPr>
              <w:pStyle w:val="Compact"/>
            </w:pPr>
            <w:r>
              <w:t xml:space="preserve">Rationale</w:t>
            </w:r>
          </w:p>
        </w:tc>
        <w:tc>
          <w:tcPr/>
          <w:p>
            <w:pPr>
              <w:pStyle w:val="Compact"/>
            </w:pPr>
            <w:r>
              <w:t xml:space="preserve">Est. Deal Size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NICE Actimize</w:t>
            </w:r>
          </w:p>
        </w:tc>
        <w:tc>
          <w:tcPr/>
          <w:p>
            <w:pPr>
              <w:pStyle w:val="Compact"/>
            </w:pPr>
            <w:r>
              <w:t xml:space="preserve">AML/Fraud</w:t>
            </w:r>
          </w:p>
        </w:tc>
        <w:tc>
          <w:tcPr/>
          <w:p>
            <w:pPr>
              <w:pStyle w:val="Compact"/>
            </w:pPr>
            <w:r>
              <w:t xml:space="preserve">Consolidation</w:t>
            </w:r>
          </w:p>
        </w:tc>
        <w:tc>
          <w:tcPr/>
          <w:p>
            <w:pPr>
              <w:pStyle w:val="Compact"/>
            </w:pPr>
            <w:r>
              <w:t xml:space="preserve">USD 500M-1B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SAS</w:t>
            </w:r>
          </w:p>
        </w:tc>
        <w:tc>
          <w:tcPr/>
          <w:p>
            <w:pPr>
              <w:pStyle w:val="Compact"/>
            </w:pPr>
            <w:r>
              <w:t xml:space="preserve">Analytics/AML</w:t>
            </w:r>
          </w:p>
        </w:tc>
        <w:tc>
          <w:tcPr/>
          <w:p>
            <w:pPr>
              <w:pStyle w:val="Compact"/>
            </w:pPr>
            <w:r>
              <w:t xml:space="preserve">Tech acquisition</w:t>
            </w:r>
          </w:p>
        </w:tc>
        <w:tc>
          <w:tcPr/>
          <w:p>
            <w:pPr>
              <w:pStyle w:val="Compact"/>
            </w:pPr>
            <w:r>
              <w:t xml:space="preserve">USD 300M-500M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Oracle</w:t>
            </w:r>
          </w:p>
        </w:tc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Bundle</w:t>
            </w:r>
          </w:p>
        </w:tc>
        <w:tc>
          <w:tcPr/>
          <w:p>
            <w:pPr>
              <w:pStyle w:val="Compact"/>
            </w:pPr>
            <w:r>
              <w:t xml:space="preserve">USD 200M-400M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Moody’s</w:t>
            </w:r>
          </w:p>
        </w:tc>
        <w:tc>
          <w:tcPr/>
          <w:p>
            <w:pPr>
              <w:pStyle w:val="Compact"/>
            </w:pPr>
            <w:r>
              <w:t xml:space="preserve">Data/KYC</w:t>
            </w:r>
          </w:p>
        </w:tc>
        <w:tc>
          <w:tcPr/>
          <w:p>
            <w:pPr>
              <w:pStyle w:val="Compact"/>
            </w:pPr>
            <w:r>
              <w:t xml:space="preserve">Data authority</w:t>
            </w:r>
          </w:p>
        </w:tc>
        <w:tc>
          <w:tcPr/>
          <w:p>
            <w:pPr>
              <w:pStyle w:val="Compact"/>
            </w:pPr>
            <w:r>
              <w:t xml:space="preserve">USD 200M-500M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Fiserv</w:t>
            </w:r>
          </w:p>
        </w:tc>
        <w:tc>
          <w:tcPr/>
          <w:p>
            <w:pPr>
              <w:pStyle w:val="Compact"/>
            </w:pPr>
            <w:r>
              <w:t xml:space="preserve">Banking</w:t>
            </w:r>
          </w:p>
        </w:tc>
        <w:tc>
          <w:tcPr/>
          <w:p>
            <w:pPr>
              <w:pStyle w:val="Compact"/>
            </w:pPr>
            <w:r>
              <w:t xml:space="preserve">Core banking</w:t>
            </w:r>
          </w:p>
        </w:tc>
        <w:tc>
          <w:tcPr/>
          <w:p>
            <w:pPr>
              <w:pStyle w:val="Compact"/>
            </w:pPr>
            <w:r>
              <w:t xml:space="preserve">USD 300M-600M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FIS</w:t>
            </w:r>
          </w:p>
        </w:tc>
        <w:tc>
          <w:tcPr/>
          <w:p>
            <w:pPr>
              <w:pStyle w:val="Compact"/>
            </w:pPr>
            <w:r>
              <w:t xml:space="preserve">Banking</w:t>
            </w:r>
          </w:p>
        </w:tc>
        <w:tc>
          <w:tcPr/>
          <w:p>
            <w:pPr>
              <w:pStyle w:val="Compact"/>
            </w:pPr>
            <w:r>
              <w:t xml:space="preserve">Core banking</w:t>
            </w:r>
          </w:p>
        </w:tc>
        <w:tc>
          <w:tcPr/>
          <w:p>
            <w:pPr>
              <w:pStyle w:val="Compact"/>
            </w:pPr>
            <w:r>
              <w:t xml:space="preserve">USD 300M-600M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Visa</w:t>
            </w:r>
          </w:p>
        </w:tc>
        <w:tc>
          <w:tcPr/>
          <w:p>
            <w:pPr>
              <w:pStyle w:val="Compact"/>
            </w:pPr>
            <w:r>
              <w:t xml:space="preserve">Fraud</w:t>
            </w:r>
          </w:p>
        </w:tc>
        <w:tc>
          <w:tcPr/>
          <w:p>
            <w:pPr>
              <w:pStyle w:val="Compact"/>
            </w:pPr>
            <w:r>
              <w:t xml:space="preserve">Payment security</w:t>
            </w:r>
          </w:p>
        </w:tc>
        <w:tc>
          <w:tcPr/>
          <w:p>
            <w:pPr>
              <w:pStyle w:val="Compact"/>
            </w:pPr>
            <w:r>
              <w:t xml:space="preserve">USD 500M-1B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Mastercard</w:t>
            </w:r>
          </w:p>
        </w:tc>
        <w:tc>
          <w:tcPr/>
          <w:p>
            <w:pPr>
              <w:pStyle w:val="Compact"/>
            </w:pPr>
            <w:r>
              <w:t xml:space="preserve">Fraud</w:t>
            </w:r>
          </w:p>
        </w:tc>
        <w:tc>
          <w:tcPr/>
          <w:p>
            <w:pPr>
              <w:pStyle w:val="Compact"/>
            </w:pPr>
            <w:r>
              <w:t xml:space="preserve">Payment security</w:t>
            </w:r>
          </w:p>
        </w:tc>
        <w:tc>
          <w:tcPr/>
          <w:p>
            <w:pPr>
              <w:pStyle w:val="Compact"/>
            </w:pPr>
            <w:r>
              <w:t xml:space="preserve">USD 500M-1B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LexisNexis</w:t>
            </w:r>
          </w:p>
        </w:tc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Data + workflow</w:t>
            </w:r>
          </w:p>
        </w:tc>
        <w:tc>
          <w:tcPr/>
          <w:p>
            <w:pPr>
              <w:pStyle w:val="Compact"/>
            </w:pPr>
            <w:r>
              <w:t xml:space="preserve">USD 200M-400M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Thomson Reuters</w:t>
            </w:r>
          </w:p>
        </w:tc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Content + tech</w:t>
            </w:r>
          </w:p>
        </w:tc>
        <w:tc>
          <w:tcPr/>
          <w:p>
            <w:pPr>
              <w:pStyle w:val="Compact"/>
            </w:pPr>
            <w:r>
              <w:t xml:space="preserve">USD 200M-400M</w:t>
            </w:r>
          </w:p>
        </w:tc>
      </w:tr>
    </w:tbl>
    <w:p>
      <w:pPr>
        <w:pStyle w:val="Heading3"/>
      </w:pPr>
      <w:bookmarkStart w:id="12" w:name="_bfd4b47a815c9c1eb7f6eb2d54c9b73f61b45d1"/>
      <w:r>
        <w:t xml:space="preserve">Regional Acquirers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Acquirer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STC (solutions)</w:t>
            </w:r>
          </w:p>
        </w:tc>
        <w:tc>
          <w:tcPr/>
          <w:p>
            <w:pPr>
              <w:pStyle w:val="Compact"/>
            </w:pPr>
            <w:r>
              <w:t xml:space="preserve">Digital services</w:t>
            </w:r>
          </w:p>
        </w:tc>
        <w:tc>
          <w:tcPr/>
          <w:p>
            <w:pPr>
              <w:pStyle w:val="Compact"/>
            </w:pPr>
            <w:r>
              <w:t xml:space="preserve">KSA consolidation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Mobily</w:t>
            </w:r>
          </w:p>
        </w:tc>
        <w:tc>
          <w:tcPr/>
          <w:p>
            <w:pPr>
              <w:pStyle w:val="Compact"/>
            </w:pPr>
            <w:r>
              <w:t xml:space="preserve">Digital</w:t>
            </w:r>
          </w:p>
        </w:tc>
        <w:tc>
          <w:tcPr/>
          <w:p>
            <w:pPr>
              <w:pStyle w:val="Compact"/>
            </w:pPr>
            <w:r>
              <w:t xml:space="preserve">Diversification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Saudi PIF-linked</w:t>
            </w:r>
          </w:p>
        </w:tc>
        <w:tc>
          <w:tcPr/>
          <w:p>
            <w:pPr>
              <w:pStyle w:val="Compact"/>
            </w:pPr>
            <w:r>
              <w:t xml:space="preserve">Strategic</w:t>
            </w:r>
          </w:p>
        </w:tc>
        <w:tc>
          <w:tcPr/>
          <w:p>
            <w:pPr>
              <w:pStyle w:val="Compact"/>
            </w:pPr>
            <w:r>
              <w:t xml:space="preserve">Vision 2030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ADQ (UAE)</w:t>
            </w:r>
          </w:p>
        </w:tc>
        <w:tc>
          <w:tcPr/>
          <w:p>
            <w:pPr>
              <w:pStyle w:val="Compact"/>
            </w:pPr>
            <w:r>
              <w:t xml:space="preserve">Diversified</w:t>
            </w:r>
          </w:p>
        </w:tc>
        <w:tc>
          <w:tcPr/>
          <w:p>
            <w:pPr>
              <w:pStyle w:val="Compact"/>
            </w:pPr>
            <w:r>
              <w:t xml:space="preserve">GCC consolidation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Mubadala</w:t>
            </w:r>
          </w:p>
        </w:tc>
        <w:tc>
          <w:tcPr/>
          <w:p>
            <w:pPr>
              <w:pStyle w:val="Compact"/>
            </w:pPr>
            <w:r>
              <w:t xml:space="preserve">Tech</w:t>
            </w:r>
          </w:p>
        </w:tc>
        <w:tc>
          <w:tcPr/>
          <w:p>
            <w:pPr>
              <w:pStyle w:val="Compact"/>
            </w:pPr>
            <w:r>
              <w:t xml:space="preserve">GCC consolidation</w:t>
            </w:r>
          </w:p>
        </w:tc>
      </w:tr>
    </w:tbl>
    <w:p>
      <w:pPr>
        <w:pStyle w:val="Heading3"/>
      </w:pPr>
      <w:bookmarkStart w:id="13" w:name="_27727360c66cf03ce84018d11abee7b4b7d248c"/>
      <w:r>
        <w:t xml:space="preserve">Private Equity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Fund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  <w:tc>
          <w:tcPr/>
          <w:p>
            <w:pPr>
              <w:pStyle w:val="Compact"/>
            </w:pPr>
            <w:r>
              <w:t xml:space="preserve">Ticket Size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Warburg Pincus</w:t>
            </w:r>
          </w:p>
        </w:tc>
        <w:tc>
          <w:tcPr/>
          <w:p>
            <w:pPr>
              <w:pStyle w:val="Compact"/>
            </w:pPr>
            <w:r>
              <w:t xml:space="preserve">FinTech</w:t>
            </w:r>
          </w:p>
        </w:tc>
        <w:tc>
          <w:tcPr/>
          <w:p>
            <w:pPr>
              <w:pStyle w:val="Compact"/>
            </w:pPr>
            <w:r>
              <w:t xml:space="preserve">USD 100-500M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Thoma Bravo</w:t>
            </w:r>
          </w:p>
        </w:tc>
        <w:tc>
          <w:tcPr/>
          <w:p>
            <w:pPr>
              <w:pStyle w:val="Compact"/>
            </w:pPr>
            <w:r>
              <w:t xml:space="preserve">Software</w:t>
            </w:r>
          </w:p>
        </w:tc>
        <w:tc>
          <w:tcPr/>
          <w:p>
            <w:pPr>
              <w:pStyle w:val="Compact"/>
            </w:pPr>
            <w:r>
              <w:t xml:space="preserve">USD 300M-1B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Insight Partners</w:t>
            </w:r>
          </w:p>
        </w:tc>
        <w:tc>
          <w:tcPr/>
          <w:p>
            <w:pPr>
              <w:pStyle w:val="Compact"/>
            </w:pPr>
            <w:r>
              <w:t xml:space="preserve">SaaS</w:t>
            </w:r>
          </w:p>
        </w:tc>
        <w:tc>
          <w:tcPr/>
          <w:p>
            <w:pPr>
              <w:pStyle w:val="Compact"/>
            </w:pPr>
            <w:r>
              <w:t xml:space="preserve">USD 100-500M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Vista Equity</w:t>
            </w:r>
          </w:p>
        </w:tc>
        <w:tc>
          <w:tcPr/>
          <w:p>
            <w:pPr>
              <w:pStyle w:val="Compact"/>
            </w:pPr>
            <w:r>
              <w:t xml:space="preserve">Enterprise</w:t>
            </w:r>
          </w:p>
        </w:tc>
        <w:tc>
          <w:tcPr/>
          <w:p>
            <w:pPr>
              <w:pStyle w:val="Compact"/>
            </w:pPr>
            <w:r>
              <w:t xml:space="preserve">USD 300M-1B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General Atlantic</w:t>
            </w:r>
          </w:p>
        </w:tc>
        <w:tc>
          <w:tcPr/>
          <w:p>
            <w:pPr>
              <w:pStyle w:val="Compact"/>
            </w:pPr>
            <w:r>
              <w:t xml:space="preserve">Growth</w:t>
            </w:r>
          </w:p>
        </w:tc>
        <w:tc>
          <w:tcPr/>
          <w:p>
            <w:pPr>
              <w:pStyle w:val="Compact"/>
            </w:pPr>
            <w:r>
              <w:t xml:space="preserve">USD 100-500M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 Associates</w:t>
            </w:r>
          </w:p>
        </w:tc>
        <w:tc>
          <w:tcPr/>
          <w:p>
            <w:pPr>
              <w:pStyle w:val="Compact"/>
            </w:pPr>
            <w:r>
              <w:t xml:space="preserve">SaaS</w:t>
            </w:r>
          </w:p>
        </w:tc>
        <w:tc>
          <w:tcPr/>
          <w:p>
            <w:pPr>
              <w:pStyle w:val="Compact"/>
            </w:pPr>
            <w:r>
              <w:t xml:space="preserve">USD 100-500M</w:t>
            </w:r>
          </w:p>
        </w:tc>
      </w:tr>
    </w:tbl>
    <w:p>
      <w:pPr>
        <w:pStyle w:val="Heading2"/>
      </w:pPr>
      <w:bookmarkStart w:id="14" w:name="_aabef8f4862ec44e715b93d482c6f5037ab6480"/>
      <w:r>
        <w:t xml:space="preserve">2. Precedent Transactions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  <w:tc>
          <w:tcPr/>
          <w:p>
            <w:pPr>
              <w:pStyle w:val="Compact"/>
            </w:pPr>
            <w:r>
              <w:t xml:space="preserve">Acquirer</w:t>
            </w:r>
          </w:p>
        </w:tc>
        <w:tc>
          <w:tcPr/>
          <w:p>
            <w:pPr>
              <w:pStyle w:val="Compact"/>
            </w:pPr>
            <w:r>
              <w:t xml:space="preserve">Value (USD M)</w:t>
            </w:r>
          </w:p>
        </w:tc>
        <w:tc>
          <w:tcPr/>
          <w:p>
            <w:pPr>
              <w:pStyle w:val="Compact"/>
            </w:pPr>
            <w:r>
              <w:t xml:space="preserve">EV/Rev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2023</w:t>
            </w:r>
          </w:p>
        </w:tc>
        <w:tc>
          <w:tcPr/>
          <w:p>
            <w:pPr>
              <w:pStyle w:val="Compact"/>
            </w:pPr>
            <w:r>
              <w:t xml:space="preserve">Featurespace</w:t>
            </w:r>
          </w:p>
        </w:tc>
        <w:tc>
          <w:tcPr/>
          <w:p>
            <w:pPr>
              <w:pStyle w:val="Compact"/>
            </w:pPr>
            <w:r>
              <w:t xml:space="preserve">Visa</w:t>
            </w:r>
          </w:p>
        </w:tc>
        <w:tc>
          <w:tcPr/>
          <w:p>
            <w:pPr>
              <w:pStyle w:val="Compact"/>
            </w:pPr>
            <w:r>
              <w:t xml:space="preserve">935</w:t>
            </w:r>
          </w:p>
        </w:tc>
        <w:tc>
          <w:tcPr/>
          <w:p>
            <w:pPr>
              <w:pStyle w:val="Compact"/>
            </w:pPr>
            <w:r>
              <w:t xml:space="preserve">9.4x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2023</w:t>
            </w:r>
          </w:p>
        </w:tc>
        <w:tc>
          <w:tcPr/>
          <w:p>
            <w:pPr>
              <w:pStyle w:val="Compact"/>
            </w:pPr>
            <w:r>
              <w:t xml:space="preserve">BioCatch</w:t>
            </w:r>
          </w:p>
        </w:tc>
        <w:tc>
          <w:tcPr/>
          <w:p>
            <w:pPr>
              <w:pStyle w:val="Compact"/>
            </w:pPr>
            <w:r>
              <w:t xml:space="preserve">Permira</w:t>
            </w:r>
          </w:p>
        </w:tc>
        <w:tc>
          <w:tcPr/>
          <w:p>
            <w:pPr>
              <w:pStyle w:val="Compact"/>
            </w:pPr>
            <w:r>
              <w:t xml:space="preserve">1,300</w:t>
            </w:r>
          </w:p>
        </w:tc>
        <w:tc>
          <w:tcPr/>
          <w:p>
            <w:pPr>
              <w:pStyle w:val="Compact"/>
            </w:pPr>
            <w:r>
              <w:t xml:space="preserve">13.0x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2022</w:t>
            </w:r>
          </w:p>
        </w:tc>
        <w:tc>
          <w:tcPr/>
          <w:p>
            <w:pPr>
              <w:pStyle w:val="Compact"/>
            </w:pPr>
            <w:r>
              <w:t xml:space="preserve">Forter</w:t>
            </w:r>
          </w:p>
        </w:tc>
        <w:tc>
          <w:tcPr/>
          <w:p>
            <w:pPr>
              <w:pStyle w:val="Compact"/>
            </w:pPr>
            <w:r>
              <w:t xml:space="preserve">Tiger Global</w:t>
            </w:r>
          </w:p>
        </w:tc>
        <w:tc>
          <w:tcPr/>
          <w:p>
            <w:pPr>
              <w:pStyle w:val="Compact"/>
            </w:pPr>
            <w:r>
              <w:t xml:space="preserve">3,000</w:t>
            </w:r>
          </w:p>
        </w:tc>
        <w:tc>
          <w:tcPr/>
          <w:p>
            <w:pPr>
              <w:pStyle w:val="Compact"/>
            </w:pPr>
            <w:r>
              <w:t xml:space="preserve">30.0x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2022</w:t>
            </w:r>
          </w:p>
        </w:tc>
        <w:tc>
          <w:tcPr/>
          <w:p>
            <w:pPr>
              <w:pStyle w:val="Compact"/>
            </w:pPr>
            <w:r>
              <w:t xml:space="preserve">Chainalysis</w:t>
            </w:r>
          </w:p>
        </w:tc>
        <w:tc>
          <w:tcPr/>
          <w:p>
            <w:pPr>
              <w:pStyle w:val="Compact"/>
            </w:pPr>
            <w:r>
              <w:t xml:space="preserve">Multiple</w:t>
            </w:r>
          </w:p>
        </w:tc>
        <w:tc>
          <w:tcPr/>
          <w:p>
            <w:pPr>
              <w:pStyle w:val="Compact"/>
            </w:pPr>
            <w:r>
              <w:t xml:space="preserve">8,600</w:t>
            </w:r>
          </w:p>
        </w:tc>
        <w:tc>
          <w:tcPr/>
          <w:p>
            <w:pPr>
              <w:pStyle w:val="Compact"/>
            </w:pPr>
            <w:r>
              <w:t xml:space="preserve">43.0x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2021</w:t>
            </w:r>
          </w:p>
        </w:tc>
        <w:tc>
          <w:tcPr/>
          <w:p>
            <w:pPr>
              <w:pStyle w:val="Compact"/>
            </w:pPr>
            <w:r>
              <w:t xml:space="preserve">Feedzai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2,000</w:t>
            </w:r>
          </w:p>
        </w:tc>
        <w:tc>
          <w:tcPr/>
          <w:p>
            <w:pPr>
              <w:pStyle w:val="Compact"/>
            </w:pPr>
            <w:r>
              <w:t xml:space="preserve">20.0x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2021</w:t>
            </w:r>
          </w:p>
        </w:tc>
        <w:tc>
          <w:tcPr/>
          <w:p>
            <w:pPr>
              <w:pStyle w:val="Compact"/>
            </w:pPr>
            <w:r>
              <w:t xml:space="preserve">Quantexa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1,800</w:t>
            </w:r>
          </w:p>
        </w:tc>
        <w:tc>
          <w:tcPr/>
          <w:p>
            <w:pPr>
              <w:pStyle w:val="Compact"/>
            </w:pPr>
            <w:r>
              <w:t xml:space="preserve">18.0x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2020</w:t>
            </w:r>
          </w:p>
        </w:tc>
        <w:tc>
          <w:tcPr/>
          <w:p>
            <w:pPr>
              <w:pStyle w:val="Compact"/>
            </w:pPr>
            <w:r>
              <w:t xml:space="preserve">Onfido</w:t>
            </w:r>
          </w:p>
        </w:tc>
        <w:tc>
          <w:tcPr/>
          <w:p>
            <w:pPr>
              <w:pStyle w:val="Compact"/>
            </w:pPr>
            <w:r>
              <w:t xml:space="preserve">TPG</w:t>
            </w:r>
          </w:p>
        </w:tc>
        <w:tc>
          <w:tcPr/>
          <w:p>
            <w:pPr>
              <w:pStyle w:val="Compact"/>
            </w:pPr>
            <w:r>
              <w:t xml:space="preserve">1,500</w:t>
            </w:r>
          </w:p>
        </w:tc>
        <w:tc>
          <w:tcPr/>
          <w:p>
            <w:pPr>
              <w:pStyle w:val="Compact"/>
            </w:pPr>
            <w:r>
              <w:t xml:space="preserve">15.0x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Median EV/Rev:</w:t>
      </w:r>
      <w:r>
        <w:t xml:space="preserve"> </w:t>
      </w:r>
      <w:r>
        <w:t xml:space="preserve">15x</w:t>
      </w:r>
      <w:r>
        <w:t xml:space="preserve"> </w:t>
      </w:r>
      <w:r>
        <w:rPr>
          <w:b/>
          <w:bCs/>
        </w:rPr>
        <w:t xml:space="preserve">Mean EV/Rev:</w:t>
      </w:r>
      <w:r>
        <w:t xml:space="preserve"> </w:t>
      </w:r>
      <w:r>
        <w:t xml:space="preserve">20x</w:t>
      </w:r>
    </w:p>
    <w:p>
      <w:pPr>
        <w:pStyle w:val="Heading2"/>
      </w:pPr>
      <w:bookmarkStart w:id="15" w:name="_ef1a899a7d5022802d152fbab2f3e879e1af370"/>
      <w:r>
        <w:t xml:space="preserve">3. Valuation at Exit</w:t>
      </w:r>
    </w:p>
    <w:p>
      <w:pPr>
        <w:pStyle w:val="FirstParagraph"/>
      </w:pPr>
      <w:r>
        <w:rPr>
          <w:b/>
          <w:bCs/>
        </w:rPr>
        <w:t xml:space="preserve">Assumptions:</w:t>
      </w:r>
      <w:r>
        <w:t xml:space="preserve"> </w:t>
      </w:r>
      <w:r>
        <w:t xml:space="preserve">- Y5 ARR: SAR 77M</w:t>
      </w:r>
      <w:r>
        <w:t xml:space="preserve"> </w:t>
      </w:r>
      <w:r>
        <w:t xml:space="preserve">- Gross margin: 78%</w:t>
      </w:r>
      <w:r>
        <w:t xml:space="preserve"> </w:t>
      </w:r>
      <w:r>
        <w:t xml:space="preserve">- Growth rate: 50%+</w:t>
      </w:r>
      <w:r>
        <w:t xml:space="preserve"> </w:t>
      </w:r>
      <w:r>
        <w:t xml:space="preserve">- Market multiples: 8-15x revenue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Multiple</w:t>
            </w:r>
          </w:p>
        </w:tc>
        <w:tc>
          <w:tcPr/>
          <w:p>
            <w:pPr>
              <w:pStyle w:val="Compact"/>
            </w:pPr>
            <w:r>
              <w:t xml:space="preserve">Y5 Valuation (SAR 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5x</w:t>
            </w:r>
          </w:p>
        </w:tc>
        <w:tc>
          <w:tcPr/>
          <w:p>
            <w:pPr>
              <w:pStyle w:val="Compact"/>
            </w:pPr>
            <w:r>
              <w:t xml:space="preserve">385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8x</w:t>
            </w:r>
          </w:p>
        </w:tc>
        <w:tc>
          <w:tcPr/>
          <w:p>
            <w:pPr>
              <w:pStyle w:val="Compact"/>
            </w:pPr>
            <w:r>
              <w:t xml:space="preserve">616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12x</w:t>
            </w:r>
          </w:p>
        </w:tc>
        <w:tc>
          <w:tcPr/>
          <w:p>
            <w:pPr>
              <w:pStyle w:val="Compact"/>
            </w:pPr>
            <w:r>
              <w:t xml:space="preserve">924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15x</w:t>
            </w:r>
          </w:p>
        </w:tc>
        <w:tc>
          <w:tcPr/>
          <w:p>
            <w:pPr>
              <w:pStyle w:val="Compact"/>
            </w:pPr>
            <w:r>
              <w:t xml:space="preserve">1,155</w:t>
            </w:r>
          </w:p>
        </w:tc>
      </w:tr>
    </w:tbl>
    <w:p>
      <w:pPr>
        <w:pStyle w:val="Heading2"/>
      </w:pPr>
      <w:bookmarkStart w:id="16" w:name="_aaf6c880389e35243321f5994010d7257ef6d59"/>
      <w:r>
        <w:t xml:space="preserve">4. Deal Process</w:t>
      </w:r>
    </w:p>
    <w:p>
      <w:pPr>
        <w:pStyle w:val="FirstParagraph"/>
      </w:pPr>
      <w:r>
        <w:rPr>
          <w:b/>
          <w:bCs/>
        </w:rPr>
        <w:t xml:space="preserve">Typical M&amp;A Timeline:</w:t>
      </w:r>
      <w:r>
        <w:t xml:space="preserve"> </w:t>
      </w:r>
      <w:r>
        <w:t xml:space="preserve">1. Pre-marketing (3-6 months)</w:t>
      </w:r>
      <w:r>
        <w:t xml:space="preserve"> </w:t>
      </w:r>
      <w:r>
        <w:t xml:space="preserve">2. Teaser + NDA (1 month)</w:t>
      </w:r>
      <w:r>
        <w:t xml:space="preserve"> </w:t>
      </w:r>
      <w:r>
        <w:t xml:space="preserve">3. Indication of Interest (1-2 months)</w:t>
      </w:r>
      <w:r>
        <w:t xml:space="preserve"> </w:t>
      </w:r>
      <w:r>
        <w:t xml:space="preserve">4. Due Diligence (2-3 months)</w:t>
      </w:r>
      <w:r>
        <w:t xml:space="preserve"> </w:t>
      </w:r>
      <w:r>
        <w:t xml:space="preserve">5. Definitive Agreements (1-2 months)</w:t>
      </w:r>
      <w:r>
        <w:t xml:space="preserve"> </w:t>
      </w:r>
      <w:r>
        <w:t xml:space="preserve">6. Regulatory Approval (2-6 months)</w:t>
      </w:r>
      <w:r>
        <w:t xml:space="preserve"> </w:t>
      </w:r>
      <w:r>
        <w:t xml:space="preserve">7. Closing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9-18 months</w:t>
      </w:r>
    </w:p>
    <w:p>
      <w:pPr>
        <w:pStyle w:val="Heading2"/>
      </w:pPr>
      <w:bookmarkStart w:id="17" w:name="_ca6892e3cf05b06af12d7f9784286e578282689"/>
      <w:r>
        <w:t xml:space="preserve">5. Regulatory Considerations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Regulator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CMA (KSA)</w:t>
            </w:r>
          </w:p>
        </w:tc>
        <w:tc>
          <w:tcPr/>
          <w:p>
            <w:pPr>
              <w:pStyle w:val="Compact"/>
            </w:pPr>
            <w:r>
              <w:t xml:space="preserve">M&amp;A approval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SAMA (KSA)</w:t>
            </w:r>
          </w:p>
        </w:tc>
        <w:tc>
          <w:tcPr/>
          <w:p>
            <w:pPr>
              <w:pStyle w:val="Compact"/>
            </w:pPr>
            <w:r>
              <w:t xml:space="preserve">Financial institution acquisitions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MISA (KSA)</w:t>
            </w:r>
          </w:p>
        </w:tc>
        <w:tc>
          <w:tcPr/>
          <w:p>
            <w:pPr>
              <w:pStyle w:val="Compact"/>
            </w:pPr>
            <w:r>
              <w:t xml:space="preserve">Foreign ownership</w:t>
            </w:r>
          </w:p>
        </w:tc>
      </w:tr>
      <w:tr>
        <w:tc>
          <w:tcPr/>
          <w:p>
            <w:pPr>
              <w:pStyle w:val="Compact"/>
            </w:pPr>
            <w:r>
              <w:t xml:space="preserve">FDI Screening</w:t>
            </w:r>
          </w:p>
        </w:tc>
        <w:tc>
          <w:tcPr/>
          <w:p>
            <w:pPr>
              <w:pStyle w:val="Compact"/>
            </w:pPr>
            <w:r>
              <w:t xml:space="preserve">Strategic sectors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Antitrust (GAC)</w:t>
            </w:r>
          </w:p>
        </w:tc>
        <w:tc>
          <w:tcPr/>
          <w:p>
            <w:pPr>
              <w:pStyle w:val="Compact"/>
            </w:pPr>
            <w:r>
              <w:t xml:space="preserve">Competition review</w:t>
            </w:r>
          </w:p>
        </w:tc>
      </w:tr>
    </w:tbl>
    <w:p>
      <w:pPr>
        <w:pStyle w:val="Heading2"/>
      </w:pPr>
      <w:bookmarkStart w:id="18" w:name="_f3c00af8856d082e4af857ae6f85477693439e5"/>
      <w:r>
        <w:t xml:space="preserve">6. Deal Structure Options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Tax</w:t>
            </w:r>
          </w:p>
        </w:tc>
        <w:tc>
          <w:tcPr/>
          <w:p>
            <w:pPr>
              <w:pStyle w:val="Compact"/>
            </w:pPr>
            <w:r>
              <w:t xml:space="preserve">Complexity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Cash purchase</w:t>
            </w:r>
          </w:p>
        </w:tc>
        <w:tc>
          <w:tcPr/>
          <w:p>
            <w:pPr>
              <w:pStyle w:val="Compact"/>
            </w:pPr>
            <w:r>
              <w:t xml:space="preserve">Immediate</w:t>
            </w:r>
          </w:p>
        </w:tc>
        <w:tc>
          <w:tcPr/>
          <w:p>
            <w:pPr>
              <w:pStyle w:val="Compact"/>
            </w:pPr>
            <w:r>
              <w:t xml:space="preserve">Simple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Stock purchase</w:t>
            </w:r>
          </w:p>
        </w:tc>
        <w:tc>
          <w:tcPr/>
          <w:p>
            <w:pPr>
              <w:pStyle w:val="Compact"/>
            </w:pPr>
            <w:r>
              <w:t xml:space="preserve">Deferred</w:t>
            </w:r>
          </w:p>
        </w:tc>
        <w:tc>
          <w:tcPr/>
          <w:p>
            <w:pPr>
              <w:pStyle w:val="Compact"/>
            </w:pPr>
            <w:r>
              <w:t xml:space="preserve">Moderate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Asset purchase</w:t>
            </w:r>
          </w:p>
        </w:tc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Complex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Merger</w:t>
            </w:r>
          </w:p>
        </w:tc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Complex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Earnout</w:t>
            </w:r>
          </w:p>
        </w:tc>
        <w:tc>
          <w:tcPr/>
          <w:p>
            <w:pPr>
              <w:pStyle w:val="Compact"/>
            </w:pPr>
            <w:r>
              <w:t xml:space="preserve">Deferred</w:t>
            </w:r>
          </w:p>
        </w:tc>
        <w:tc>
          <w:tcPr/>
          <w:p>
            <w:pPr>
              <w:pStyle w:val="Compact"/>
            </w:pPr>
            <w:r>
              <w:t xml:space="preserve">Complex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Market data for illustrative purposes. Actual outcomes depend on market conditions.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M&amp;A Landscape</dc:title>
  <dc:creator>HISN Platform</dc:creator>
  <cp:keywords>HISN, FCDOS, financial crime, decision operating system</cp:keywords>
  <dcterms:created xsi:type="dcterms:W3CDTF">2026-10-14T09:35:04Z</dcterms:created>
  <dcterms:modified xsi:type="dcterms:W3CDTF">2026-10-14T09:35:04Z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