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02_Negotiation_Guide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ae3c4d638bebafb140bc20c01844af7576bf569"/>
      <w:r>
        <w:t xml:space="preserve">TERM SHEET NEGOTIATION GUIDE</w:t>
      </w:r>
    </w:p>
    <w:p>
      <w:pPr>
        <w:pStyle w:val="FirstParagraph"/>
      </w:pPr>
      <w:r>
        <w:rPr>
          <w:b/>
          <w:bCs/>
        </w:rPr>
        <w:t xml:space="preserve">Prepared for:</w:t>
      </w:r>
      <w:r>
        <w:t xml:space="preserve"> </w:t>
      </w:r>
      <w:r>
        <w:t xml:space="preserve">HISN Founders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14 October 2026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1151e0de0805b2ef032766866f42aaf3d6fc196"/>
      <w:r>
        <w:t xml:space="preserve">1. Negotiation Objectives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Priority</w:t>
            </w:r>
          </w:p>
        </w:tc>
        <w:tc>
          <w:tcPr/>
          <w:p>
            <w:pPr>
              <w:pStyle w:val="Compact"/>
            </w:pPr>
            <w:r>
              <w:t xml:space="preserve">Objective</w:t>
            </w:r>
          </w:p>
        </w:tc>
        <w:tc>
          <w:tcPr/>
          <w:p>
            <w:pPr>
              <w:pStyle w:val="Compact"/>
            </w:pPr>
            <w:r>
              <w:t xml:space="preserve">Must-Have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Clean cap table (no dead equity)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Fair valuation (SAR 30M+)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Founder retention (80%+)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Board control at Seed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Reasonable investor protections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Favorable ESOP treatment</w:t>
            </w:r>
          </w:p>
        </w:tc>
        <w:tc>
          <w:tcPr/>
          <w:p>
            <w:pPr>
              <w:pStyle w:val="Compact"/>
            </w:pPr>
            <w:r>
              <w:t xml:space="preserve">Negotiable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Pro-rata rights</w:t>
            </w:r>
          </w:p>
        </w:tc>
        <w:tc>
          <w:tcPr/>
          <w:p>
            <w:pPr>
              <w:pStyle w:val="Compact"/>
            </w:pPr>
            <w:r>
              <w:t xml:space="preserve">Acceptable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Information rights</w:t>
            </w:r>
          </w:p>
        </w:tc>
        <w:tc>
          <w:tcPr/>
          <w:p>
            <w:pPr>
              <w:pStyle w:val="Compact"/>
            </w:pPr>
            <w:r>
              <w:t xml:space="preserve">Acceptable</w:t>
            </w:r>
          </w:p>
        </w:tc>
      </w:tr>
    </w:tbl>
    <w:p>
      <w:pPr>
        <w:pStyle w:val="Heading2"/>
      </w:pPr>
      <w:bookmarkStart w:id="11" w:name="_524f3944aa6ea7c543957c2c541a5d40ffc3aa8"/>
      <w:r>
        <w:t xml:space="preserve">2. Key Negotiation Points</w:t>
      </w:r>
    </w:p>
    <w:p>
      <w:pPr>
        <w:pStyle w:val="Heading3"/>
      </w:pPr>
      <w:bookmarkStart w:id="12" w:name="_valuation"/>
      <w:r>
        <w:t xml:space="preserve">2.1 Valuation</w:t>
      </w:r>
    </w:p>
    <w:p>
      <w:pPr>
        <w:pStyle w:val="FirstParagraph"/>
      </w:pPr>
      <w:r>
        <w:rPr>
          <w:b/>
          <w:bCs/>
        </w:rPr>
        <w:t xml:space="preserve">Anchor:</w:t>
      </w:r>
      <w:r>
        <w:t xml:space="preserve"> </w:t>
      </w:r>
      <w:r>
        <w:t xml:space="preserve">SAR 30M pre-money</w:t>
      </w:r>
      <w:r>
        <w:t xml:space="preserve"> </w:t>
      </w:r>
      <w:r>
        <w:rPr>
          <w:b/>
          <w:bCs/>
        </w:rPr>
        <w:t xml:space="preserve">Walk-away:</w:t>
      </w:r>
      <w:r>
        <w:t xml:space="preserve"> </w:t>
      </w:r>
      <w:r>
        <w:t xml:space="preserve">SAR 25M</w:t>
      </w:r>
      <w:r>
        <w:t xml:space="preserve"> </w:t>
      </w:r>
      <w:r>
        <w:rPr>
          <w:b/>
          <w:bCs/>
        </w:rPr>
        <w:t xml:space="preserve">Upside:</w:t>
      </w:r>
      <w:r>
        <w:t xml:space="preserve"> </w:t>
      </w:r>
      <w:r>
        <w:t xml:space="preserve">SAR 35M</w:t>
      </w:r>
    </w:p>
    <w:p>
      <w:pPr>
        <w:pStyle w:val="BodyText"/>
      </w:pPr>
      <w:r>
        <w:rPr>
          <w:b/>
          <w:bCs/>
        </w:rPr>
        <w:t xml:space="preserve">Argument for SAR 30M:</w:t>
      </w:r>
      <w:r>
        <w:t xml:space="preserve"> </w:t>
      </w:r>
      <w:r>
        <w:t xml:space="preserve">- Built technical asset (not idea)</w:t>
      </w:r>
      <w:r>
        <w:t xml:space="preserve"> </w:t>
      </w:r>
      <w:r>
        <w:t xml:space="preserve">- Multi-domain validation</w:t>
      </w:r>
      <w:r>
        <w:t xml:space="preserve"> </w:t>
      </w:r>
      <w:r>
        <w:t xml:space="preserve">- Composite range SAR 45-100M</w:t>
      </w:r>
      <w:r>
        <w:t xml:space="preserve"> </w:t>
      </w:r>
      <w:r>
        <w:t xml:space="preserve">- Conservative vs. DCF</w:t>
      </w:r>
    </w:p>
    <w:p>
      <w:pPr>
        <w:pStyle w:val="Heading3"/>
      </w:pPr>
      <w:bookmarkStart w:id="13" w:name="_f1a43a9987fe20e660b8a887f6f4229a8ff2eb0"/>
      <w:r>
        <w:t xml:space="preserve">2.2 ESOP Pool</w:t>
      </w:r>
    </w:p>
    <w:p>
      <w:pPr>
        <w:pStyle w:val="FirstParagraph"/>
      </w:pPr>
      <w:r>
        <w:rPr>
          <w:b/>
          <w:bCs/>
        </w:rPr>
        <w:t xml:space="preserve">Founder Position:</w:t>
      </w:r>
      <w:r>
        <w:t xml:space="preserve"> </w:t>
      </w:r>
      <w:r>
        <w:t xml:space="preserve">Post-money</w:t>
      </w:r>
      <w:r>
        <w:t xml:space="preserve"> </w:t>
      </w:r>
      <w:r>
        <w:rPr>
          <w:b/>
          <w:bCs/>
        </w:rPr>
        <w:t xml:space="preserve">Investor Position:</w:t>
      </w:r>
      <w:r>
        <w:t xml:space="preserve"> </w:t>
      </w:r>
      <w:r>
        <w:t xml:space="preserve">Pre-money</w:t>
      </w:r>
      <w:r>
        <w:t xml:space="preserve"> </w:t>
      </w:r>
      <w:r>
        <w:rPr>
          <w:b/>
          <w:bCs/>
        </w:rPr>
        <w:t xml:space="preserve">Compromise:</w:t>
      </w:r>
      <w:r>
        <w:t xml:space="preserve"> </w:t>
      </w:r>
      <w:r>
        <w:t xml:space="preserve">Pre-money but sized at 8%</w:t>
      </w:r>
    </w:p>
    <w:p>
      <w:pPr>
        <w:pStyle w:val="BodyText"/>
      </w:pPr>
      <w:r>
        <w:rPr>
          <w:b/>
          <w:bCs/>
        </w:rPr>
        <w:t xml:space="preserve">Impact:</w:t>
      </w:r>
      <w:r>
        <w:t xml:space="preserve"> </w:t>
      </w:r>
      <w:r>
        <w:t xml:space="preserve">| Structure | Founder Dilution |</w:t>
      </w:r>
      <w:r>
        <w:t xml:space="preserve"> </w:t>
      </w:r>
      <w:r>
        <w:t xml:space="preserve">|—|—|</w:t>
      </w:r>
      <w:r>
        <w:t xml:space="preserve"> </w:t>
      </w:r>
      <w:r>
        <w:t xml:space="preserve">| Post-money 10% | -8% |</w:t>
      </w:r>
      <w:r>
        <w:t xml:space="preserve"> </w:t>
      </w:r>
      <w:r>
        <w:t xml:space="preserve">| Pre-money 10% | -10% |</w:t>
      </w:r>
      <w:r>
        <w:t xml:space="preserve"> </w:t>
      </w:r>
      <w:r>
        <w:t xml:space="preserve">| Pre-money 8% | -8% |</w:t>
      </w:r>
    </w:p>
    <w:p>
      <w:pPr>
        <w:pStyle w:val="Heading3"/>
      </w:pPr>
      <w:bookmarkStart w:id="14" w:name="_b3343d2f73a4675ece5366f2315cb2fd0a10991"/>
      <w:r>
        <w:t xml:space="preserve">2.3 Liquidation Preference</w:t>
      </w:r>
    </w:p>
    <w:p>
      <w:pPr>
        <w:pStyle w:val="FirstParagraph"/>
      </w:pPr>
      <w:r>
        <w:rPr>
          <w:b/>
          <w:bCs/>
        </w:rPr>
        <w:t xml:space="preserve">Founder Position:</w:t>
      </w:r>
      <w:r>
        <w:t xml:space="preserve"> </w:t>
      </w:r>
      <w:r>
        <w:t xml:space="preserve">1x non-participating</w:t>
      </w:r>
      <w:r>
        <w:t xml:space="preserve"> </w:t>
      </w:r>
      <w:r>
        <w:rPr>
          <w:b/>
          <w:bCs/>
        </w:rPr>
        <w:t xml:space="preserve">Investor Position:</w:t>
      </w:r>
      <w:r>
        <w:t xml:space="preserve"> </w:t>
      </w:r>
      <w:r>
        <w:t xml:space="preserve">1x participating or 1x with 2x cap</w:t>
      </w:r>
    </w:p>
    <w:p>
      <w:pPr>
        <w:pStyle w:val="BodyText"/>
      </w:pPr>
      <w:r>
        <w:rPr>
          <w:b/>
          <w:bCs/>
        </w:rPr>
        <w:t xml:space="preserve">Compromise:</w:t>
      </w:r>
      <w:r>
        <w:t xml:space="preserve"> </w:t>
      </w:r>
      <w:r>
        <w:t xml:space="preserve">1x non-participating (standard)</w:t>
      </w:r>
    </w:p>
    <w:p>
      <w:pPr>
        <w:pStyle w:val="BodyText"/>
      </w:pPr>
      <w:r>
        <w:rPr>
          <w:b/>
          <w:bCs/>
        </w:rPr>
        <w:t xml:space="preserve">Why 1x non-participating:</w:t>
      </w:r>
      <w:r>
        <w:t xml:space="preserve"> </w:t>
      </w:r>
      <w:r>
        <w:t xml:space="preserve">- Standard for Seed</w:t>
      </w:r>
      <w:r>
        <w:t xml:space="preserve"> </w:t>
      </w:r>
      <w:r>
        <w:t xml:space="preserve">- Investor-favorable terms only in distressed rounds</w:t>
      </w:r>
      <w:r>
        <w:t xml:space="preserve"> </w:t>
      </w:r>
      <w:r>
        <w:t xml:space="preserve">- Preserves founder upside</w:t>
      </w:r>
    </w:p>
    <w:p>
      <w:pPr>
        <w:pStyle w:val="Heading3"/>
      </w:pPr>
      <w:bookmarkStart w:id="15" w:name="_9a53c3bc53c3ceb78149ff47fb02062be4d9c22"/>
      <w:r>
        <w:t xml:space="preserve">2.4 Anti-Dilution</w:t>
      </w:r>
    </w:p>
    <w:p>
      <w:pPr>
        <w:pStyle w:val="FirstParagraph"/>
      </w:pPr>
      <w:r>
        <w:rPr>
          <w:b/>
          <w:bCs/>
        </w:rPr>
        <w:t xml:space="preserve">Founder Position:</w:t>
      </w:r>
      <w:r>
        <w:t xml:space="preserve"> </w:t>
      </w:r>
      <w:r>
        <w:t xml:space="preserve">Broad-based weighted average</w:t>
      </w:r>
      <w:r>
        <w:t xml:space="preserve"> </w:t>
      </w:r>
      <w:r>
        <w:rPr>
          <w:b/>
          <w:bCs/>
        </w:rPr>
        <w:t xml:space="preserve">Investor Position:</w:t>
      </w:r>
      <w:r>
        <w:t xml:space="preserve"> </w:t>
      </w:r>
      <w:r>
        <w:t xml:space="preserve">Narrow-based or full ratchet</w:t>
      </w:r>
    </w:p>
    <w:p>
      <w:pPr>
        <w:pStyle w:val="BodyText"/>
      </w:pPr>
      <w:r>
        <w:rPr>
          <w:b/>
          <w:bCs/>
        </w:rPr>
        <w:t xml:space="preserve">Compromise:</w:t>
      </w:r>
      <w:r>
        <w:t xml:space="preserve"> </w:t>
      </w:r>
      <w:r>
        <w:t xml:space="preserve">Broad-based weighted average (standard)</w:t>
      </w:r>
    </w:p>
    <w:p>
      <w:pPr>
        <w:pStyle w:val="Heading3"/>
      </w:pPr>
      <w:bookmarkStart w:id="16" w:name="_042e40700b791bd76c5dfbdd412337f7c7ea163"/>
      <w:r>
        <w:t xml:space="preserve">2.5 Board Control</w:t>
      </w:r>
    </w:p>
    <w:p>
      <w:pPr>
        <w:pStyle w:val="FirstParagraph"/>
      </w:pPr>
      <w:r>
        <w:rPr>
          <w:b/>
          <w:bCs/>
        </w:rPr>
        <w:t xml:space="preserve">Founder Position:</w:t>
      </w:r>
      <w:r>
        <w:t xml:space="preserve"> </w:t>
      </w:r>
      <w:r>
        <w:t xml:space="preserve">2 of 3 at Seed</w:t>
      </w:r>
      <w:r>
        <w:t xml:space="preserve"> </w:t>
      </w:r>
      <w:r>
        <w:rPr>
          <w:b/>
          <w:bCs/>
        </w:rPr>
        <w:t xml:space="preserve">Investor Position:</w:t>
      </w:r>
      <w:r>
        <w:t xml:space="preserve"> </w:t>
      </w:r>
      <w:r>
        <w:t xml:space="preserve">1 of 2, tie-break</w:t>
      </w:r>
    </w:p>
    <w:p>
      <w:pPr>
        <w:pStyle w:val="BodyText"/>
      </w:pPr>
      <w:r>
        <w:rPr>
          <w:b/>
          <w:bCs/>
        </w:rPr>
        <w:t xml:space="preserve">Compromise:</w:t>
      </w:r>
      <w:r>
        <w:t xml:space="preserve"> </w:t>
      </w:r>
      <w:r>
        <w:t xml:space="preserve">3 seats (2 Founder, 1 Investor)</w:t>
      </w:r>
    </w:p>
    <w:p>
      <w:pPr>
        <w:pStyle w:val="Heading2"/>
      </w:pPr>
      <w:bookmarkStart w:id="17" w:name="_2ba79740543e223680d87d9d4fbd202b124d7cc"/>
      <w:r>
        <w:t xml:space="preserve">3. Concession Ladder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Priority</w:t>
            </w:r>
          </w:p>
        </w:tc>
        <w:tc>
          <w:tcPr/>
          <w:p>
            <w:pPr>
              <w:pStyle w:val="Compact"/>
            </w:pPr>
            <w:r>
              <w:t xml:space="preserve">Willing to Concede</w:t>
            </w:r>
          </w:p>
        </w:tc>
        <w:tc>
          <w:tcPr/>
          <w:p>
            <w:pPr>
              <w:pStyle w:val="Compact"/>
            </w:pPr>
            <w:r>
              <w:t xml:space="preserve">Not Willing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Information rights detail</w:t>
            </w:r>
          </w:p>
        </w:tc>
        <w:tc>
          <w:tcPr/>
          <w:p>
            <w:pPr>
              <w:pStyle w:val="Compact"/>
            </w:pPr>
            <w:r>
              <w:t xml:space="preserve">Cap table cleanliness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Pro-rata rights</w:t>
            </w:r>
          </w:p>
        </w:tc>
        <w:tc>
          <w:tcPr/>
          <w:p>
            <w:pPr>
              <w:pStyle w:val="Compact"/>
            </w:pPr>
            <w:r>
              <w:t xml:space="preserve">Valuation floor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ESOP sizing (8-12%)</w:t>
            </w:r>
          </w:p>
        </w:tc>
        <w:tc>
          <w:tcPr/>
          <w:p>
            <w:pPr>
              <w:pStyle w:val="Compact"/>
            </w:pPr>
            <w:r>
              <w:t xml:space="preserve">Board control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ROFR details</w:t>
            </w:r>
          </w:p>
        </w:tc>
        <w:tc>
          <w:tcPr/>
          <w:p>
            <w:pPr>
              <w:pStyle w:val="Compact"/>
            </w:pPr>
            <w:r>
              <w:t xml:space="preserve">Liquidation preference &gt; 1x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Exclusivity length</w:t>
            </w:r>
          </w:p>
        </w:tc>
        <w:tc>
          <w:tcPr/>
          <w:p>
            <w:pPr>
              <w:pStyle w:val="Compact"/>
            </w:pPr>
            <w:r>
              <w:t xml:space="preserve">Founder vesting acceleration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Investor legal reimbursement</w:t>
            </w:r>
          </w:p>
        </w:tc>
        <w:tc>
          <w:tcPr/>
          <w:p>
            <w:pPr>
              <w:pStyle w:val="Compact"/>
            </w:pPr>
            <w:r>
              <w:t xml:space="preserve">IP assignment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Reporting cadence</w:t>
            </w:r>
          </w:p>
        </w:tc>
        <w:tc>
          <w:tcPr/>
          <w:p>
            <w:pPr>
              <w:pStyle w:val="Compact"/>
            </w:pPr>
            <w:r>
              <w:t xml:space="preserve">Anti-dilution structure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Observer rights</w:t>
            </w:r>
          </w:p>
        </w:tc>
        <w:tc>
          <w:tcPr/>
          <w:p>
            <w:pPr>
              <w:pStyle w:val="Compact"/>
            </w:pPr>
            <w:r>
              <w:t xml:space="preserve">Drag-along thresholds</w:t>
            </w:r>
          </w:p>
        </w:tc>
      </w:tr>
    </w:tbl>
    <w:p>
      <w:pPr>
        <w:pStyle w:val="Heading2"/>
      </w:pPr>
      <w:bookmarkStart w:id="18" w:name="_bbbfb7afbaaaafdeeeedb568648ba28291458a4"/>
      <w:r>
        <w:t xml:space="preserve">4. Red Lines</w:t>
      </w:r>
    </w:p>
    <w:p>
      <w:pPr>
        <w:pStyle w:val="FirstParagraph"/>
      </w:pPr>
      <w:r>
        <w:rPr>
          <w:b/>
          <w:bCs/>
        </w:rPr>
        <w:t xml:space="preserve">Absolutely Non-Negotiable:</w:t>
      </w:r>
    </w:p>
    <w:p>
      <w:pPr>
        <w:pStyle w:val="Compact"/>
        <w:numPr>
          <w:ilvl w:val="0"/>
          <w:numId w:val="1001"/>
        </w:numPr>
      </w:pPr>
      <w:r>
        <w:t xml:space="preserve">Clean cap table — no unvested shares, no side letters</w:t>
      </w:r>
    </w:p>
    <w:p>
      <w:pPr>
        <w:pStyle w:val="Compact"/>
        <w:numPr>
          <w:ilvl w:val="0"/>
          <w:numId w:val="1001"/>
        </w:numPr>
      </w:pPr>
      <w:r>
        <w:t xml:space="preserve">Full IP assignment from all contributors</w:t>
      </w:r>
    </w:p>
    <w:p>
      <w:pPr>
        <w:pStyle w:val="Compact"/>
        <w:numPr>
          <w:ilvl w:val="0"/>
          <w:numId w:val="1001"/>
        </w:numPr>
      </w:pPr>
      <w:r>
        <w:t xml:space="preserve">No full-ratchet anti-dilution</w:t>
      </w:r>
    </w:p>
    <w:p>
      <w:pPr>
        <w:pStyle w:val="Compact"/>
        <w:numPr>
          <w:ilvl w:val="0"/>
          <w:numId w:val="1001"/>
        </w:numPr>
      </w:pPr>
      <w:r>
        <w:t xml:space="preserve">No participation rights (or capped)</w:t>
      </w:r>
    </w:p>
    <w:p>
      <w:pPr>
        <w:pStyle w:val="Compact"/>
        <w:numPr>
          <w:ilvl w:val="0"/>
          <w:numId w:val="1001"/>
        </w:numPr>
      </w:pPr>
      <w:r>
        <w:t xml:space="preserve">No board control by investor at Seed</w:t>
      </w:r>
    </w:p>
    <w:p>
      <w:pPr>
        <w:pStyle w:val="Compact"/>
        <w:numPr>
          <w:ilvl w:val="0"/>
          <w:numId w:val="1001"/>
        </w:numPr>
      </w:pPr>
      <w:r>
        <w:t xml:space="preserve">No personal guarantees from Founder</w:t>
      </w:r>
    </w:p>
    <w:p>
      <w:pPr>
        <w:pStyle w:val="Compact"/>
        <w:numPr>
          <w:ilvl w:val="0"/>
          <w:numId w:val="1001"/>
        </w:numPr>
      </w:pPr>
      <w:r>
        <w:t xml:space="preserve">No key-person insurance requirement as investor benefit</w:t>
      </w:r>
    </w:p>
    <w:p>
      <w:pPr>
        <w:pStyle w:val="Compact"/>
        <w:numPr>
          <w:ilvl w:val="0"/>
          <w:numId w:val="1001"/>
        </w:numPr>
      </w:pPr>
      <w:r>
        <w:t xml:space="preserve">No pay-to-play (at Seed)</w:t>
      </w:r>
    </w:p>
    <w:p>
      <w:pPr>
        <w:pStyle w:val="Compact"/>
        <w:numPr>
          <w:ilvl w:val="0"/>
          <w:numId w:val="1001"/>
        </w:numPr>
      </w:pPr>
      <w:r>
        <w:t xml:space="preserve">No redemption rights</w:t>
      </w:r>
    </w:p>
    <w:p>
      <w:pPr>
        <w:pStyle w:val="Compact"/>
        <w:numPr>
          <w:ilvl w:val="0"/>
          <w:numId w:val="1001"/>
        </w:numPr>
      </w:pPr>
      <w:r>
        <w:t xml:space="preserve">No MFN without limitation</w:t>
      </w:r>
    </w:p>
    <w:p>
      <w:pPr>
        <w:pStyle w:val="Heading2"/>
      </w:pPr>
      <w:bookmarkStart w:id="19" w:name="_9abd97b837c57952d4e08091e237c075daeb1a6"/>
      <w:r>
        <w:t xml:space="preserve">5. Negotiation Tactics</w:t>
      </w:r>
    </w:p>
    <w:p>
      <w:pPr>
        <w:pStyle w:val="Heading3"/>
      </w:pPr>
      <w:bookmarkStart w:id="20" w:name="_do"/>
      <w:r>
        <w:t xml:space="preserve">Do:</w:t>
      </w:r>
    </w:p>
    <w:p>
      <w:pPr>
        <w:pStyle w:val="Compact"/>
        <w:numPr>
          <w:ilvl w:val="0"/>
          <w:numId w:val="1002"/>
        </w:numPr>
      </w:pPr>
      <w:r>
        <w:t xml:space="preserve">Anchor first with SAR 35M</w:t>
      </w:r>
    </w:p>
    <w:p>
      <w:pPr>
        <w:pStyle w:val="Compact"/>
        <w:numPr>
          <w:ilvl w:val="0"/>
          <w:numId w:val="1002"/>
        </w:numPr>
      </w:pPr>
      <w:r>
        <w:t xml:space="preserve">Bundle concessions (never give one-for-nothing)</w:t>
      </w:r>
    </w:p>
    <w:p>
      <w:pPr>
        <w:pStyle w:val="Compact"/>
        <w:numPr>
          <w:ilvl w:val="0"/>
          <w:numId w:val="1002"/>
        </w:numPr>
      </w:pPr>
      <w:r>
        <w:t xml:space="preserve">Reference market standards</w:t>
      </w:r>
    </w:p>
    <w:p>
      <w:pPr>
        <w:pStyle w:val="Compact"/>
        <w:numPr>
          <w:ilvl w:val="0"/>
          <w:numId w:val="1002"/>
        </w:numPr>
      </w:pPr>
      <w:r>
        <w:t xml:space="preserve">Take time to review clauses</w:t>
      </w:r>
    </w:p>
    <w:p>
      <w:pPr>
        <w:pStyle w:val="Compact"/>
        <w:numPr>
          <w:ilvl w:val="0"/>
          <w:numId w:val="1002"/>
        </w:numPr>
      </w:pPr>
      <w:r>
        <w:t xml:space="preserve">Consult legal counsel</w:t>
      </w:r>
    </w:p>
    <w:p>
      <w:pPr>
        <w:pStyle w:val="Compact"/>
        <w:numPr>
          <w:ilvl w:val="0"/>
          <w:numId w:val="1002"/>
        </w:numPr>
      </w:pPr>
      <w:r>
        <w:t xml:space="preserve">Maintain relationship</w:t>
      </w:r>
    </w:p>
    <w:p>
      <w:pPr>
        <w:pStyle w:val="Heading3"/>
      </w:pPr>
      <w:bookmarkStart w:id="21" w:name="_dont"/>
      <w:r>
        <w:t xml:space="preserve">Don’t:</w:t>
      </w:r>
    </w:p>
    <w:p>
      <w:pPr>
        <w:pStyle w:val="Compact"/>
        <w:numPr>
          <w:ilvl w:val="0"/>
          <w:numId w:val="1003"/>
        </w:numPr>
      </w:pPr>
      <w:r>
        <w:t xml:space="preserve">Reveal walk-away number</w:t>
      </w:r>
    </w:p>
    <w:p>
      <w:pPr>
        <w:pStyle w:val="Compact"/>
        <w:numPr>
          <w:ilvl w:val="0"/>
          <w:numId w:val="1003"/>
        </w:numPr>
      </w:pPr>
      <w:r>
        <w:t xml:space="preserve">Accept terms under time pressure</w:t>
      </w:r>
    </w:p>
    <w:p>
      <w:pPr>
        <w:pStyle w:val="Compact"/>
        <w:numPr>
          <w:ilvl w:val="0"/>
          <w:numId w:val="1003"/>
        </w:numPr>
      </w:pPr>
      <w:r>
        <w:t xml:space="preserve">Sign without legal review</w:t>
      </w:r>
    </w:p>
    <w:p>
      <w:pPr>
        <w:pStyle w:val="Compact"/>
        <w:numPr>
          <w:ilvl w:val="0"/>
          <w:numId w:val="1003"/>
        </w:numPr>
      </w:pPr>
      <w:r>
        <w:t xml:space="preserve">Negotiate alone (always with counsel)</w:t>
      </w:r>
    </w:p>
    <w:p>
      <w:pPr>
        <w:pStyle w:val="Compact"/>
        <w:numPr>
          <w:ilvl w:val="0"/>
          <w:numId w:val="1003"/>
        </w:numPr>
      </w:pPr>
      <w:r>
        <w:t xml:space="preserve">Get emotional</w:t>
      </w:r>
    </w:p>
    <w:p>
      <w:pPr>
        <w:pStyle w:val="Compact"/>
        <w:numPr>
          <w:ilvl w:val="0"/>
          <w:numId w:val="1003"/>
        </w:numPr>
      </w:pPr>
      <w:r>
        <w:t xml:space="preserve">Undervalue the technical asset</w:t>
      </w:r>
    </w:p>
    <w:p>
      <w:pPr>
        <w:pStyle w:val="Heading2"/>
      </w:pPr>
      <w:bookmarkStart w:id="22" w:name="_timeline"/>
      <w:r>
        <w:t xml:space="preserve">6.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Week</w:t>
            </w:r>
          </w:p>
        </w:tc>
        <w:tc>
          <w:tcPr/>
          <w:p>
            <w:pPr>
              <w:pStyle w:val="Compact"/>
            </w:pPr>
            <w:r>
              <w:t xml:space="preserve">Activity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Initial term sheet received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Founder + legal review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Counter-proposal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Negotiation rounds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Term sheet agreed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6-8</w:t>
            </w:r>
          </w:p>
        </w:tc>
        <w:tc>
          <w:tcPr/>
          <w:p>
            <w:pPr>
              <w:pStyle w:val="Compact"/>
            </w:pPr>
            <w:r>
              <w:t xml:space="preserve">Due diligence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9-10</w:t>
            </w:r>
          </w:p>
        </w:tc>
        <w:tc>
          <w:tcPr/>
          <w:p>
            <w:pPr>
              <w:pStyle w:val="Compact"/>
            </w:pPr>
            <w:r>
              <w:t xml:space="preserve">Definitive agreements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11-12</w:t>
            </w:r>
          </w:p>
        </w:tc>
        <w:tc>
          <w:tcPr/>
          <w:p>
            <w:pPr>
              <w:pStyle w:val="Compact"/>
            </w:pPr>
            <w:r>
              <w:t xml:space="preserve">Closing</w:t>
            </w:r>
          </w:p>
        </w:tc>
      </w:tr>
    </w:tbl>
    <w:p>
      <w:pPr>
        <w:pStyle w:val="Heading2"/>
      </w:pPr>
      <w:bookmarkStart w:id="23" w:name="_a93b7035b9e1ea2e4ea862c597173940dc4f734"/>
      <w:r>
        <w:t xml:space="preserve">7. Deal Breakers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Clause</w:t>
            </w:r>
          </w:p>
        </w:tc>
        <w:tc>
          <w:tcPr/>
          <w:p>
            <w:pPr>
              <w:pStyle w:val="Compact"/>
            </w:pPr>
            <w:r>
              <w:t xml:space="preserve">Risk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Full ratchet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Reject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Participating preferred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  <w:tc>
          <w:tcPr/>
          <w:p>
            <w:pPr>
              <w:pStyle w:val="Compact"/>
            </w:pPr>
            <w:r>
              <w:t xml:space="preserve">Negotiate cap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Board control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Reject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Redemption rights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Reject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Personal guarantees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Reject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Excessive liquidation pref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Reject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Broad IP assignment beyond company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Narrow</w:t>
            </w:r>
          </w:p>
        </w:tc>
      </w:tr>
    </w:tbl>
    <w:p>
      <w:pPr>
        <w:pStyle w:val="Heading2"/>
      </w:pPr>
      <w:bookmarkStart w:id="24" w:name="_e424ff3ce978c6b3a311a4c16f749bfa9381e41"/>
      <w:r>
        <w:t xml:space="preserve">8. Success Metrics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Target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Valuation</w:t>
            </w:r>
          </w:p>
        </w:tc>
        <w:tc>
          <w:tcPr/>
          <w:p>
            <w:pPr>
              <w:pStyle w:val="Compact"/>
            </w:pPr>
            <w:r>
              <w:t xml:space="preserve">SAR 30M+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Founder ownership</w:t>
            </w:r>
          </w:p>
        </w:tc>
        <w:tc>
          <w:tcPr/>
          <w:p>
            <w:pPr>
              <w:pStyle w:val="Compact"/>
            </w:pPr>
            <w:r>
              <w:t xml:space="preserve">80%+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Board seats</w:t>
            </w:r>
          </w:p>
        </w:tc>
        <w:tc>
          <w:tcPr/>
          <w:p>
            <w:pPr>
              <w:pStyle w:val="Compact"/>
            </w:pPr>
            <w:r>
              <w:t xml:space="preserve">2 of 3</w:t>
            </w:r>
          </w:p>
        </w:tc>
      </w:tr>
      <w:tr>
        <w:tc>
          <w:tcPr/>
          <w:p>
            <w:pPr>
              <w:pStyle w:val="Compact"/>
            </w:pPr>
            <w:r>
              <w:t xml:space="preserve">ESOP</w:t>
            </w:r>
          </w:p>
        </w:tc>
        <w:tc>
          <w:tcPr/>
          <w:p>
            <w:pPr>
              <w:pStyle w:val="Compact"/>
            </w:pPr>
            <w:r>
              <w:t xml:space="preserve">10% pre-money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Liquidation pref</w:t>
            </w:r>
          </w:p>
        </w:tc>
        <w:tc>
          <w:tcPr/>
          <w:p>
            <w:pPr>
              <w:pStyle w:val="Compact"/>
            </w:pPr>
            <w:r>
              <w:t xml:space="preserve">1x non-participating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Anti-dilution</w:t>
            </w:r>
          </w:p>
        </w:tc>
        <w:tc>
          <w:tcPr/>
          <w:p>
            <w:pPr>
              <w:pStyle w:val="Compact"/>
            </w:pPr>
            <w:r>
              <w:t xml:space="preserve">Broad-based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Legal fees</w:t>
            </w:r>
          </w:p>
        </w:tc>
        <w:tc>
          <w:tcPr/>
          <w:p>
            <w:pPr>
              <w:pStyle w:val="Compact"/>
            </w:pPr>
            <w:r>
              <w:t xml:space="preserve">&lt; SAR 100K company share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Confidential — For Founder Use Only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Investor Relations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 Negotiation Guide</dc:title>
  <dc:creator>HISN Platform</dc:creator>
  <cp:keywords>HISN, FCDOS, financial crime, decision operating system</cp:keywords>
  <dcterms:created xsi:type="dcterms:W3CDTF">2026-10-14T09:35:04Z</dcterms:created>
  <dcterms:modified xsi:type="dcterms:W3CDTF">2026-10-14T09:35:04Z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