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03_Clause_by_Clause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8247e3af91321d206921a181fdc785e24791e2b"/>
      <w:r>
        <w:t xml:space="preserve">TERM SHEET — CLAUSE BY CLAUSE GUIDE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efe19d7beb48243737ad4649a4658e527e4c184"/>
      <w:r>
        <w:t xml:space="preserve">1. Valuation &amp; Price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“Pre-money valuation of SAR 30,000,000 based on fully diluted capitalization.”</w:t>
      </w:r>
    </w:p>
    <w:p>
      <w:pPr>
        <w:pStyle w:val="BodyText"/>
      </w:pPr>
      <w:r>
        <w:rPr>
          <w:b/>
          <w:bCs/>
        </w:rPr>
        <w:t xml:space="preserve">Key Considerations:</w:t>
      </w:r>
      <w:r>
        <w:t xml:space="preserve"> </w:t>
      </w:r>
      <w:r>
        <w:t xml:space="preserve">- Fully diluted includes all options, warrants, convertibles</w:t>
      </w:r>
      <w:r>
        <w:t xml:space="preserve"> </w:t>
      </w:r>
      <w:r>
        <w:t xml:space="preserve">- ESOP pool treatment affects effective valuation</w:t>
      </w:r>
      <w:r>
        <w:t xml:space="preserve"> </w:t>
      </w:r>
      <w:r>
        <w:t xml:space="preserve">- Post-money = pre-money + new investment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Ensure no unvested shares dilute valuation.</w:t>
      </w:r>
    </w:p>
    <w:p>
      <w:pPr>
        <w:pStyle w:val="Heading2"/>
      </w:pPr>
      <w:bookmarkStart w:id="11" w:name="_securities"/>
      <w:r>
        <w:t xml:space="preserve">2. Securities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“Series Seed Preferred Shares with rights, preferences, and privileges set forth in the Restated Articles.”</w:t>
      </w:r>
    </w:p>
    <w:p>
      <w:pPr>
        <w:pStyle w:val="BodyText"/>
      </w:pPr>
      <w:r>
        <w:rPr>
          <w:b/>
          <w:bCs/>
        </w:rPr>
        <w:t xml:space="preserve">Key Considerations:</w:t>
      </w:r>
      <w:r>
        <w:t xml:space="preserve"> </w:t>
      </w:r>
      <w:r>
        <w:t xml:space="preserve">- Preferred vs. Common differences</w:t>
      </w:r>
      <w:r>
        <w:t xml:space="preserve"> </w:t>
      </w:r>
      <w:r>
        <w:t xml:space="preserve">- Voting rights</w:t>
      </w:r>
      <w:r>
        <w:t xml:space="preserve"> </w:t>
      </w:r>
      <w:r>
        <w:t xml:space="preserve">- Conversion rights</w:t>
      </w:r>
    </w:p>
    <w:p>
      <w:pPr>
        <w:pStyle w:val="Heading2"/>
      </w:pPr>
      <w:bookmarkStart w:id="12" w:name="_b3343d2f73a4675ece5366f2315cb2fd0a10991"/>
      <w:r>
        <w:t xml:space="preserve">3. Liquidation Preference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“1x non-participating liquidation preference.”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Participating preferred (investor gets preference + pro-rata)</w:t>
      </w:r>
      <w:r>
        <w:t xml:space="preserve"> </w:t>
      </w:r>
      <w:r>
        <w:t xml:space="preserve">- Multiple liquidation preferences</w:t>
      </w:r>
    </w:p>
    <w:p>
      <w:pPr>
        <w:pStyle w:val="BodyText"/>
      </w:pPr>
      <w:r>
        <w:rPr>
          <w:b/>
          <w:bCs/>
        </w:rPr>
        <w:t xml:space="preserve">Impact on Exit:</w:t>
      </w:r>
      <w:r>
        <w:t xml:space="preserve"> </w:t>
      </w:r>
      <w:r>
        <w:t xml:space="preserve">| Exit Value | 1x Non-Part. | 1x Part. |</w:t>
      </w:r>
      <w:r>
        <w:t xml:space="preserve"> </w:t>
      </w:r>
      <w:r>
        <w:t xml:space="preserve">|—|—|—|</w:t>
      </w:r>
      <w:r>
        <w:t xml:space="preserve"> </w:t>
      </w:r>
      <w:r>
        <w:t xml:space="preserve">| SAR 20M | Founder: 12.5M | Founder: 10M |</w:t>
      </w:r>
      <w:r>
        <w:t xml:space="preserve"> </w:t>
      </w:r>
      <w:r>
        <w:t xml:space="preserve">| SAR 50M | Founder: 34M | Founder: 34M |</w:t>
      </w:r>
      <w:r>
        <w:t xml:space="preserve"> </w:t>
      </w:r>
      <w:r>
        <w:t xml:space="preserve">| SAR 100M | Founder: 74M | Founder: 74M |</w:t>
      </w:r>
    </w:p>
    <w:p>
      <w:pPr>
        <w:pStyle w:val="Heading2"/>
      </w:pPr>
      <w:bookmarkStart w:id="13" w:name="_9a53c3bc53c3ceb78149ff47fb02062be4d9c22"/>
      <w:r>
        <w:t xml:space="preserve">4. Anti-Dilution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“Broad-based weighted average adjustment on down-round issuances, excluding ESOP and strategic issuances.”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Full ratchet is punitive</w:t>
      </w:r>
      <w:r>
        <w:t xml:space="preserve"> </w:t>
      </w:r>
      <w:r>
        <w:t xml:space="preserve">- Narrow-based is more punitive than broad-based</w:t>
      </w:r>
      <w:r>
        <w:t xml:space="preserve"> </w:t>
      </w:r>
      <w:r>
        <w:t xml:space="preserve">- Exclusions matter</w:t>
      </w:r>
    </w:p>
    <w:p>
      <w:pPr>
        <w:pStyle w:val="Heading2"/>
      </w:pPr>
      <w:bookmarkStart w:id="14" w:name="_9614f0fe1f6040c17fbbea65f76933bcf99549f"/>
      <w:r>
        <w:t xml:space="preserve">5. Voting Rights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“Preferred votes on as-converted basis, plus protective provisions.”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Protective provisions scope</w:t>
      </w:r>
      <w:r>
        <w:t xml:space="preserve"> </w:t>
      </w:r>
      <w:r>
        <w:t xml:space="preserve">- Board composition</w:t>
      </w:r>
      <w:r>
        <w:t xml:space="preserve"> </w:t>
      </w:r>
      <w:r>
        <w:t xml:space="preserve">- Reserved matters</w:t>
      </w:r>
    </w:p>
    <w:p>
      <w:pPr>
        <w:pStyle w:val="Heading2"/>
      </w:pPr>
      <w:bookmarkStart w:id="15" w:name="_61d7de40d6cf5ddea8efe137c366bbd22201966"/>
      <w:r>
        <w:t xml:space="preserve">6. Board Composition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“Board of 3 directors: 2 appointed by Founders, 1 by Lead Investor.”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Tie-break mechanisms</w:t>
      </w:r>
      <w:r>
        <w:t xml:space="preserve"> </w:t>
      </w:r>
      <w:r>
        <w:t xml:space="preserve">- Observer rights</w:t>
      </w:r>
      <w:r>
        <w:t xml:space="preserve"> </w:t>
      </w:r>
      <w:r>
        <w:t xml:space="preserve">- Committee formation</w:t>
      </w:r>
    </w:p>
    <w:p>
      <w:pPr>
        <w:pStyle w:val="Heading2"/>
      </w:pPr>
      <w:bookmarkStart w:id="16" w:name="_1e586100864f30990c66942bff666b428bd4718"/>
      <w:r>
        <w:t xml:space="preserve">7. Information Rights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“Monthly management report, quarterly financials, annual audited statements.”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Confidentiality of strategic info</w:t>
      </w:r>
      <w:r>
        <w:t xml:space="preserve"> </w:t>
      </w:r>
      <w:r>
        <w:t xml:space="preserve">- Competitor investors</w:t>
      </w:r>
      <w:r>
        <w:t xml:space="preserve"> </w:t>
      </w:r>
      <w:r>
        <w:t xml:space="preserve">- Reporting burden</w:t>
      </w:r>
    </w:p>
    <w:p>
      <w:pPr>
        <w:pStyle w:val="Heading2"/>
      </w:pPr>
      <w:bookmarkStart w:id="17" w:name="_596adaa9a034847fc5da416d8fdae98cfb77735"/>
      <w:r>
        <w:t xml:space="preserve">8. Pro-Rata Rights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“Investor has right to participate in future rounds to maintain ownership percentage.”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Major investor threshold</w:t>
      </w:r>
      <w:r>
        <w:t xml:space="preserve"> </w:t>
      </w:r>
      <w:r>
        <w:t xml:space="preserve">- Super pro-rata (over-participation)</w:t>
      </w:r>
    </w:p>
    <w:p>
      <w:pPr>
        <w:pStyle w:val="Heading2"/>
      </w:pPr>
      <w:bookmarkStart w:id="18" w:name="_e289a0ef08732e38d84983315533bd50a9bd173"/>
      <w:r>
        <w:t xml:space="preserve">9. ROFR / Co-Sale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“Company has ROFR; then Investors have ROFR; then co-sale applies.”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Restricts liquidity</w:t>
      </w:r>
      <w:r>
        <w:t xml:space="preserve"> </w:t>
      </w:r>
      <w:r>
        <w:t xml:space="preserve">- Timing constraints</w:t>
      </w:r>
      <w:r>
        <w:t xml:space="preserve"> </w:t>
      </w:r>
      <w:r>
        <w:t xml:space="preserve">- Permitted transfers</w:t>
      </w:r>
    </w:p>
    <w:p>
      <w:pPr>
        <w:pStyle w:val="Heading2"/>
      </w:pPr>
      <w:bookmarkStart w:id="19" w:name="_45d0addf446cf3188707419c239ffc035c8049e"/>
      <w:r>
        <w:t xml:space="preserve">10. Drag-Along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“Board + majority Preferred + majority Common can approve sale.”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Minimum price threshold</w:t>
      </w:r>
      <w:r>
        <w:t xml:space="preserve"> </w:t>
      </w:r>
      <w:r>
        <w:t xml:space="preserve">- Same terms requirement</w:t>
      </w:r>
      <w:r>
        <w:t xml:space="preserve"> </w:t>
      </w:r>
      <w:r>
        <w:t xml:space="preserve">- Founder consent carve-outs</w:t>
      </w:r>
    </w:p>
    <w:p>
      <w:pPr>
        <w:pStyle w:val="Heading2"/>
      </w:pPr>
      <w:bookmarkStart w:id="20" w:name="_902d62c8488aa9a74fede1ca063561d8e989711"/>
      <w:r>
        <w:t xml:space="preserve">11. Founder Vesting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“4-year vesting, 1-year cliff, monthly thereafter.”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Acceleration triggers</w:t>
      </w:r>
      <w:r>
        <w:t xml:space="preserve"> </w:t>
      </w:r>
      <w:r>
        <w:t xml:space="preserve">- Existing shares treatment</w:t>
      </w:r>
      <w:r>
        <w:t xml:space="preserve"> </w:t>
      </w:r>
      <w:r>
        <w:t xml:space="preserve">- Leave of absence provisions</w:t>
      </w:r>
    </w:p>
    <w:p>
      <w:pPr>
        <w:pStyle w:val="Heading2"/>
      </w:pPr>
      <w:bookmarkStart w:id="21" w:name="_95327041612ae3e36af4de62cd540819e0351cc"/>
      <w:r>
        <w:t xml:space="preserve">12. Protective Provisions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“Investor consent required for major decisions listed in Schedule 1.”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Broad vs. narrow scope</w:t>
      </w:r>
      <w:r>
        <w:t xml:space="preserve"> </w:t>
      </w:r>
      <w:r>
        <w:t xml:space="preserve">- Deadlock resolution</w:t>
      </w:r>
      <w:r>
        <w:t xml:space="preserve"> </w:t>
      </w:r>
      <w:r>
        <w:t xml:space="preserve">- Emergency exceptions</w:t>
      </w:r>
    </w:p>
    <w:p>
      <w:pPr>
        <w:pStyle w:val="Heading2"/>
      </w:pPr>
      <w:bookmarkStart w:id="22" w:name="_39c869e1cc44968edeae78506b58811acead3a6"/>
      <w:r>
        <w:t xml:space="preserve">13. Representations &amp; Warranties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“Company reps: authority, IP, no conflicts, financial accuracy, compliance.”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Personal liability</w:t>
      </w:r>
      <w:r>
        <w:t xml:space="preserve"> </w:t>
      </w:r>
      <w:r>
        <w:t xml:space="preserve">- Indemnification scope</w:t>
      </w:r>
      <w:r>
        <w:t xml:space="preserve"> </w:t>
      </w:r>
      <w:r>
        <w:t xml:space="preserve">- Basket and cap</w:t>
      </w:r>
    </w:p>
    <w:p>
      <w:pPr>
        <w:pStyle w:val="Heading2"/>
      </w:pPr>
      <w:bookmarkStart w:id="23" w:name="_88223db913a81c82e0434afb81ec6c0f31e96d8"/>
      <w:r>
        <w:t xml:space="preserve">14. Conditions Precedent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“Subject to legal DD, IP assignments, cap table, no MAC.”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DD scope</w:t>
      </w:r>
      <w:r>
        <w:t xml:space="preserve"> </w:t>
      </w:r>
      <w:r>
        <w:t xml:space="preserve">- MAC definition</w:t>
      </w:r>
      <w:r>
        <w:t xml:space="preserve"> </w:t>
      </w:r>
      <w:r>
        <w:t xml:space="preserve">- Timeline</w:t>
      </w:r>
    </w:p>
    <w:p>
      <w:pPr>
        <w:pStyle w:val="Heading2"/>
      </w:pPr>
      <w:bookmarkStart w:id="24" w:name="_fees"/>
      <w:r>
        <w:t xml:space="preserve">15. Fees</w:t>
      </w:r>
    </w:p>
    <w:p>
      <w:pPr>
        <w:pStyle w:val="FirstParagraph"/>
      </w:pPr>
      <w:r>
        <w:rPr>
          <w:b/>
          <w:bCs/>
        </w:rPr>
        <w:t xml:space="preserve">Standard Clause:</w:t>
      </w:r>
      <w:r>
        <w:t xml:space="preserve"> </w:t>
      </w:r>
      <w:r>
        <w:t xml:space="preserve">&gt;</w:t>
      </w:r>
      <w:r>
        <w:t xml:space="preserve"> </w:t>
      </w:r>
      <w:r>
        <w:t xml:space="preserve">“Each party bears own fees; Company reimburses Investor up to SAR [X] on closing.”</w:t>
      </w:r>
    </w:p>
    <w:p>
      <w:pPr>
        <w:pStyle w:val="BodyText"/>
      </w:pPr>
      <w:r>
        <w:rPr>
          <w:b/>
          <w:bCs/>
        </w:rPr>
        <w:t xml:space="preserve">Founder Concern:</w:t>
      </w:r>
      <w:r>
        <w:t xml:space="preserve"> </w:t>
      </w:r>
      <w:r>
        <w:t xml:space="preserve">- Cap on reimbursement</w:t>
      </w:r>
      <w:r>
        <w:t xml:space="preserve"> </w:t>
      </w:r>
      <w:r>
        <w:t xml:space="preserve">- Break fees</w:t>
      </w:r>
      <w:r>
        <w:t xml:space="preserve"> </w:t>
      </w:r>
      <w:r>
        <w:t xml:space="preserve">- Legal review costs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guide is for reference only. Final terms require qualified legal counsel review.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Clause by Clause</dc:title>
  <dc:creator>HISN Platform</dc:creator>
  <cp:keywords>HISN, FCDOS, financial crime, decision operating system</cp:keywords>
  <dcterms:created xsi:type="dcterms:W3CDTF">2026-10-14T09:35:04Z</dcterms:created>
  <dcterms:modified xsi:type="dcterms:W3CDTF">2026-10-14T09:35:04Z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