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03_Term_Sheet</w:t>
      </w:r>
    </w:p>
    <w:p>
      <w:pPr>
        <w:pStyle w:val="Heading1"/>
      </w:pPr>
      <w:bookmarkStart w:id="19" w:name="_44a6dbdc92a5583aa71f6486cff3d8e2f3b4b86"/>
      <w:r>
        <w:t xml:space="preserve">Term Sheet — Seed Round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Legal &amp; CEO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Framework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df3d0f1cc916325ee18f97ce3e72745a510564f"/>
      <w:r>
        <w:t xml:space="preserve">Document Control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Title</w:t>
            </w:r>
          </w:p>
        </w:tc>
        <w:tc>
          <w:tcPr/>
          <w:p>
            <w:pPr>
              <w:pStyle w:val="Compact"/>
            </w:pPr>
            <w:r>
              <w:t xml:space="preserve">Term Sheet — Seed Round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October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Legal &amp; 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Basis of Preparation</w:t>
            </w:r>
          </w:p>
        </w:tc>
        <w:tc>
          <w:tcPr/>
          <w:p>
            <w:pPr>
              <w:pStyle w:val="Compact"/>
            </w:pPr>
            <w:r>
              <w:t xml:space="preserve">Market standards, management position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Limitations</w:t>
            </w:r>
          </w:p>
        </w:tc>
        <w:tc>
          <w:tcPr/>
          <w:p>
            <w:pPr>
              <w:pStyle w:val="Compact"/>
            </w:pPr>
            <w:r>
              <w:t xml:space="preserve">Not a binding offer. Terms subject to definitive agreements.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1673fb8dae0b405733298a603b9e022f50ff2eb"/>
      <w:r>
        <w:t xml:space="preserve">1. Transaction Summary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Round</w:t>
            </w:r>
          </w:p>
        </w:tc>
        <w:tc>
          <w:tcPr/>
          <w:p>
            <w:pPr>
              <w:pStyle w:val="Compact"/>
            </w:pPr>
            <w:r>
              <w:t xml:space="preserve">Seed</w:t>
            </w:r>
          </w:p>
        </w:tc>
        <w:tc>
          <w:tcPr/>
          <w:p>
            <w:pPr>
              <w:pStyle w:val="Compact"/>
            </w:pPr>
            <w:r>
              <w:t xml:space="preserve">MANAGEMENT ASSUMPTION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Pre-Money Valuation</w:t>
            </w:r>
          </w:p>
        </w:tc>
        <w:tc>
          <w:tcPr/>
          <w:p>
            <w:pPr>
              <w:pStyle w:val="Compact"/>
            </w:pPr>
            <w:r>
              <w:t xml:space="preserve">SAR 30,000,000</w:t>
            </w:r>
          </w:p>
        </w:tc>
        <w:tc>
          <w:tcPr/>
          <w:p>
            <w:pPr>
              <w:pStyle w:val="Compact"/>
            </w:pPr>
            <w:r>
              <w:t xml:space="preserve">MANAGEMENT POSITION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Investment Amount</w:t>
            </w:r>
          </w:p>
        </w:tc>
        <w:tc>
          <w:tcPr/>
          <w:p>
            <w:pPr>
              <w:pStyle w:val="Compact"/>
            </w:pPr>
            <w:r>
              <w:t xml:space="preserve">SAR 7,500,000</w:t>
            </w:r>
          </w:p>
        </w:tc>
        <w:tc>
          <w:tcPr/>
          <w:p>
            <w:pPr>
              <w:pStyle w:val="Compact"/>
            </w:pPr>
            <w:r>
              <w:t xml:space="preserve">MANAGEMENT ASSUMPTION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Post-Money Valuation</w:t>
            </w:r>
          </w:p>
        </w:tc>
        <w:tc>
          <w:tcPr/>
          <w:p>
            <w:pPr>
              <w:pStyle w:val="Compact"/>
            </w:pPr>
            <w:r>
              <w:t xml:space="preserve">SAR 37,500,000</w:t>
            </w:r>
          </w:p>
        </w:tc>
        <w:tc>
          <w:tcPr/>
          <w:p>
            <w:pPr>
              <w:pStyle w:val="Compact"/>
            </w:pPr>
            <w:r>
              <w:t xml:space="preserve">DERIVED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New Investor Ownership</w:t>
            </w:r>
          </w:p>
        </w:tc>
        <w:tc>
          <w:tcPr/>
          <w:p>
            <w:pPr>
              <w:pStyle w:val="Compact"/>
            </w:pPr>
            <w:r>
              <w:t xml:space="preserve">20.00%</w:t>
            </w:r>
          </w:p>
        </w:tc>
        <w:tc>
          <w:tcPr/>
          <w:p>
            <w:pPr>
              <w:pStyle w:val="Compact"/>
            </w:pPr>
            <w:r>
              <w:t xml:space="preserve">DERIVED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Existing Ownership</w:t>
            </w:r>
          </w:p>
        </w:tc>
        <w:tc>
          <w:tcPr/>
          <w:p>
            <w:pPr>
              <w:pStyle w:val="Compact"/>
            </w:pPr>
            <w:r>
              <w:t xml:space="preserve">80.00%</w:t>
            </w:r>
          </w:p>
        </w:tc>
        <w:tc>
          <w:tcPr/>
          <w:p>
            <w:pPr>
              <w:pStyle w:val="Compact"/>
            </w:pPr>
            <w:r>
              <w:t xml:space="preserve">DERIVED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</w:t>
            </w:r>
          </w:p>
        </w:tc>
        <w:tc>
          <w:tcPr/>
          <w:p>
            <w:pPr>
              <w:pStyle w:val="Compact"/>
            </w:pPr>
            <w:r>
              <w:t xml:space="preserve">Series Seed Preferred</w:t>
            </w:r>
          </w:p>
        </w:tc>
        <w:tc>
          <w:tcPr/>
          <w:p>
            <w:pPr>
              <w:pStyle w:val="Compact"/>
            </w:pPr>
            <w:r>
              <w:t xml:space="preserve">MARKET STANDARD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securities"/>
      <w:r>
        <w:t xml:space="preserve">2. Securities</w:t>
      </w:r>
    </w:p>
    <w:p>
      <w:pPr>
        <w:pStyle w:val="FirstParagraph"/>
      </w:pPr>
      <w:r>
        <w:rPr>
          <w:b/>
          <w:bCs/>
        </w:rPr>
        <w:t xml:space="preserve">Type:</w:t>
      </w:r>
      <w:r>
        <w:t xml:space="preserve"> </w:t>
      </w:r>
      <w:r>
        <w:t xml:space="preserve">Series Seed Preferred Shares</w:t>
      </w:r>
    </w:p>
    <w:p>
      <w:pPr>
        <w:pStyle w:val="BodyText"/>
      </w:pPr>
      <w:r>
        <w:rPr>
          <w:b/>
          <w:bCs/>
        </w:rPr>
        <w:t xml:space="preserve">Rights:</w:t>
      </w:r>
      <w:r>
        <w:t xml:space="preserve"> </w:t>
      </w:r>
      <w:r>
        <w:t xml:space="preserve">- Liquidation preference: 1x non-participating</w:t>
      </w:r>
      <w:r>
        <w:t xml:space="preserve"> </w:t>
      </w:r>
      <w:r>
        <w:t xml:space="preserve">- Conversion: 1:1 (standard)</w:t>
      </w:r>
      <w:r>
        <w:t xml:space="preserve"> </w:t>
      </w:r>
      <w:r>
        <w:t xml:space="preserve">- Anti-dilution: Broad-based weighted average</w:t>
      </w:r>
      <w:r>
        <w:t xml:space="preserve"> </w:t>
      </w:r>
      <w:r>
        <w:t xml:space="preserve">- Voting: As-converted basis</w:t>
      </w:r>
      <w:r>
        <w:t xml:space="preserve"> </w:t>
      </w:r>
      <w:r>
        <w:t xml:space="preserve">- Protective provisions (see §6)</w:t>
      </w:r>
      <w:r>
        <w:t xml:space="preserve"> </w:t>
      </w:r>
      <w:r>
        <w:t xml:space="preserve">- Information rights (see §8)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efe19d7beb48243737ad4649a4658e527e4c184"/>
      <w:r>
        <w:t xml:space="preserve">3. Valuation &amp; Price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Pre-Money</w:t>
            </w:r>
          </w:p>
        </w:tc>
        <w:tc>
          <w:tcPr/>
          <w:p>
            <w:pPr>
              <w:pStyle w:val="Compact"/>
            </w:pPr>
            <w:r>
              <w:t xml:space="preserve">SAR 30,000,000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Post-Money</w:t>
            </w:r>
          </w:p>
        </w:tc>
        <w:tc>
          <w:tcPr/>
          <w:p>
            <w:pPr>
              <w:pStyle w:val="Compact"/>
            </w:pPr>
            <w:r>
              <w:t xml:space="preserve">SAR 37,500,000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Price per Share</w:t>
            </w:r>
          </w:p>
        </w:tc>
        <w:tc>
          <w:tcPr/>
          <w:p>
            <w:pPr>
              <w:pStyle w:val="Compact"/>
            </w:pPr>
            <w:r>
              <w:t xml:space="preserve">[To be calculated at closing]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Fully Diluted Shares</w:t>
            </w:r>
          </w:p>
        </w:tc>
        <w:tc>
          <w:tcPr/>
          <w:p>
            <w:pPr>
              <w:pStyle w:val="Compact"/>
            </w:pPr>
            <w:r>
              <w:t xml:space="preserve">[To be confirmed]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b3343d2f73a4675ece5366f2315cb2fd0a10991"/>
      <w:r>
        <w:t xml:space="preserve">4. Liquidation Preference</w:t>
      </w:r>
    </w:p>
    <w:p>
      <w:pPr>
        <w:pStyle w:val="FirstParagraph"/>
      </w:pPr>
      <w:r>
        <w:rPr>
          <w:b/>
          <w:bCs/>
        </w:rPr>
        <w:t xml:space="preserve">Standard:</w:t>
      </w:r>
      <w:r>
        <w:t xml:space="preserve"> </w:t>
      </w:r>
      <w:r>
        <w:t xml:space="preserve">1x non-participating.</w:t>
      </w:r>
    </w:p>
    <w:p>
      <w:pPr>
        <w:pStyle w:val="BodyText"/>
      </w:pPr>
      <w:r>
        <w:rPr>
          <w:b/>
          <w:bCs/>
        </w:rPr>
        <w:t xml:space="preserve">Waterfall:</w:t>
      </w:r>
      <w:r>
        <w:t xml:space="preserve"> </w:t>
      </w:r>
      <w:r>
        <w:t xml:space="preserve">1. Series Seed Preferred receives 1x investment (SAR 7.5M)</w:t>
      </w:r>
      <w:r>
        <w:t xml:space="preserve"> </w:t>
      </w:r>
      <w:r>
        <w:t xml:space="preserve">2. Remaining proceeds split pro-rata (as-converted)</w:t>
      </w:r>
    </w:p>
    <w:p>
      <w:pPr>
        <w:pStyle w:val="BodyText"/>
      </w:pPr>
      <w:r>
        <w:rPr>
          <w:b/>
          <w:bCs/>
        </w:rPr>
        <w:t xml:space="preserve">Alternative (negotiable):</w:t>
      </w:r>
      <w:r>
        <w:t xml:space="preserve"> </w:t>
      </w:r>
      <w:r>
        <w:t xml:space="preserve">1x with 2x cap (hybrid).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_9a53c3bc53c3ceb78149ff47fb02062be4d9c22"/>
      <w:r>
        <w:t xml:space="preserve">5. Anti-Dilution</w:t>
      </w:r>
    </w:p>
    <w:p>
      <w:pPr>
        <w:pStyle w:val="FirstParagraph"/>
      </w:pPr>
      <w:r>
        <w:rPr>
          <w:b/>
          <w:bCs/>
        </w:rPr>
        <w:t xml:space="preserve">Standard:</w:t>
      </w:r>
      <w:r>
        <w:t xml:space="preserve"> </w:t>
      </w:r>
      <w:r>
        <w:t xml:space="preserve">Broad-based weighted average.</w:t>
      </w:r>
    </w:p>
    <w:p>
      <w:pPr>
        <w:pStyle w:val="BodyText"/>
      </w:pPr>
      <w:r>
        <w:t xml:space="preserve">Formula: CP2 = CP1 × (A + B) / (A + C)</w:t>
      </w:r>
    </w:p>
    <w:p>
      <w:pPr>
        <w:pStyle w:val="BodyText"/>
      </w:pPr>
      <w:r>
        <w:rPr>
          <w:b/>
          <w:bCs/>
        </w:rPr>
        <w:t xml:space="preserve">Not acceptable:</w:t>
      </w:r>
      <w:r>
        <w:t xml:space="preserve"> </w:t>
      </w:r>
      <w:r>
        <w:t xml:space="preserve">Full ratchet, narrow-based.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_95327041612ae3e36af4de62cd540819e0351cc"/>
      <w:r>
        <w:t xml:space="preserve">6. Protective Provisions</w:t>
      </w:r>
    </w:p>
    <w:p>
      <w:pPr>
        <w:pStyle w:val="FirstParagraph"/>
      </w:pPr>
      <w:r>
        <w:rPr>
          <w:b/>
          <w:bCs/>
        </w:rPr>
        <w:t xml:space="preserve">Investor consent required for:</w:t>
      </w:r>
    </w:p>
    <w:p>
      <w:pPr>
        <w:pStyle w:val="Compact"/>
        <w:numPr>
          <w:ilvl w:val="0"/>
          <w:numId w:val="1001"/>
        </w:numPr>
      </w:pPr>
      <w:r>
        <w:t xml:space="preserve">Amendments to Articles or SHA</w:t>
      </w:r>
    </w:p>
    <w:p>
      <w:pPr>
        <w:pStyle w:val="Compact"/>
        <w:numPr>
          <w:ilvl w:val="0"/>
          <w:numId w:val="1001"/>
        </w:numPr>
      </w:pPr>
      <w:r>
        <w:t xml:space="preserve">New share issuance (except ESOP per plan)</w:t>
      </w:r>
    </w:p>
    <w:p>
      <w:pPr>
        <w:pStyle w:val="Compact"/>
        <w:numPr>
          <w:ilvl w:val="0"/>
          <w:numId w:val="1001"/>
        </w:numPr>
      </w:pPr>
      <w:r>
        <w:t xml:space="preserve">M&amp;A, liquidation, dissolution, IPO</w:t>
      </w:r>
    </w:p>
    <w:p>
      <w:pPr>
        <w:pStyle w:val="Compact"/>
        <w:numPr>
          <w:ilvl w:val="0"/>
          <w:numId w:val="1001"/>
        </w:numPr>
      </w:pPr>
      <w:r>
        <w:t xml:space="preserve">Change in business nature</w:t>
      </w:r>
    </w:p>
    <w:p>
      <w:pPr>
        <w:pStyle w:val="Compact"/>
        <w:numPr>
          <w:ilvl w:val="0"/>
          <w:numId w:val="1001"/>
        </w:numPr>
      </w:pPr>
      <w:r>
        <w:t xml:space="preserve">Debt above SAR 500,000</w:t>
      </w:r>
    </w:p>
    <w:p>
      <w:pPr>
        <w:pStyle w:val="Compact"/>
        <w:numPr>
          <w:ilvl w:val="0"/>
          <w:numId w:val="1001"/>
        </w:numPr>
      </w:pPr>
      <w:r>
        <w:t xml:space="preserve">Related-party transactions</w:t>
      </w:r>
    </w:p>
    <w:p>
      <w:pPr>
        <w:pStyle w:val="Compact"/>
        <w:numPr>
          <w:ilvl w:val="0"/>
          <w:numId w:val="1001"/>
        </w:numPr>
      </w:pPr>
      <w:r>
        <w:t xml:space="preserve">CEO/CFO/CTO appointment or removal</w:t>
      </w:r>
    </w:p>
    <w:p>
      <w:pPr>
        <w:pStyle w:val="Compact"/>
        <w:numPr>
          <w:ilvl w:val="0"/>
          <w:numId w:val="1001"/>
        </w:numPr>
      </w:pPr>
      <w:r>
        <w:t xml:space="preserve">Dividend declaration</w:t>
      </w:r>
    </w:p>
    <w:p>
      <w:pPr>
        <w:pStyle w:val="Compact"/>
        <w:numPr>
          <w:ilvl w:val="0"/>
          <w:numId w:val="1001"/>
        </w:numPr>
      </w:pPr>
      <w:r>
        <w:t xml:space="preserve">Sale of material IP</w:t>
      </w:r>
    </w:p>
    <w:p>
      <w:pPr>
        <w:pStyle w:val="Compact"/>
        <w:numPr>
          <w:ilvl w:val="0"/>
          <w:numId w:val="1001"/>
        </w:numPr>
      </w:pPr>
      <w:r>
        <w:t xml:space="preserve">Increase in Board size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_61d7de40d6cf5ddea8efe137c366bbd22201966"/>
      <w:r>
        <w:t xml:space="preserve">7. Board Composition</w:t>
      </w:r>
    </w:p>
    <w:p>
      <w:pPr>
        <w:pStyle w:val="FirstParagraph"/>
      </w:pPr>
      <w:r>
        <w:rPr>
          <w:b/>
          <w:bCs/>
        </w:rPr>
        <w:t xml:space="preserve">Post-Seed:</w:t>
      </w:r>
      <w:r>
        <w:t xml:space="preserve"> </w:t>
      </w:r>
      <w:r>
        <w:t xml:space="preserve">3 directors</w:t>
      </w:r>
      <w:r>
        <w:t xml:space="preserve"> </w:t>
      </w:r>
      <w:r>
        <w:t xml:space="preserve">- 2 Founder directors</w:t>
      </w:r>
      <w:r>
        <w:t xml:space="preserve"> </w:t>
      </w:r>
      <w:r>
        <w:t xml:space="preserve">- 1 Investor director</w:t>
      </w:r>
    </w:p>
    <w:p>
      <w:pPr>
        <w:pStyle w:val="BodyText"/>
      </w:pPr>
      <w:r>
        <w:rPr>
          <w:b/>
          <w:bCs/>
        </w:rPr>
        <w:t xml:space="preserve">Meeting Cadence:</w:t>
      </w:r>
      <w:r>
        <w:t xml:space="preserve"> </w:t>
      </w:r>
      <w:r>
        <w:t xml:space="preserve">Quarterly (minimum).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_1e586100864f30990c66942bff666b428bd4718"/>
      <w:r>
        <w:t xml:space="preserve">8. Information Rights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Frequency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Management report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Financial statements</w:t>
            </w:r>
          </w:p>
        </w:tc>
        <w:tc>
          <w:tcPr/>
          <w:p>
            <w:pPr>
              <w:pStyle w:val="Compact"/>
            </w:pPr>
            <w:r>
              <w:t xml:space="preserve">Quarterly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Audited annual (when applicable)</w:t>
            </w:r>
          </w:p>
        </w:tc>
        <w:tc>
          <w:tcPr/>
          <w:p>
            <w:pPr>
              <w:pStyle w:val="Compact"/>
            </w:pPr>
            <w:r>
              <w:t xml:space="preserve">Annually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Board materials</w:t>
            </w:r>
          </w:p>
        </w:tc>
        <w:tc>
          <w:tcPr/>
          <w:p>
            <w:pPr>
              <w:pStyle w:val="Compact"/>
            </w:pPr>
            <w:r>
              <w:t xml:space="preserve">Per meeting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_596adaa9a034847fc5da416d8fdae98cfb77735"/>
      <w:r>
        <w:t xml:space="preserve">9. Pro-Rata Rights</w:t>
      </w:r>
    </w:p>
    <w:p>
      <w:pPr>
        <w:pStyle w:val="FirstParagraph"/>
      </w:pPr>
      <w:r>
        <w:t xml:space="preserve">Investor may participate in future rounds to maintain ownership percentage.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0" w:name="_902d62c8488aa9a74fede1ca063561d8e989711"/>
      <w:r>
        <w:t xml:space="preserve">10. Founder Vesting</w:t>
      </w:r>
    </w:p>
    <w:p>
      <w:pPr>
        <w:pStyle w:val="FirstParagraph"/>
      </w:pPr>
      <w:r>
        <w:rPr>
          <w:b/>
          <w:bCs/>
        </w:rPr>
        <w:t xml:space="preserve">Standard:</w:t>
      </w:r>
      <w:r>
        <w:t xml:space="preserve"> </w:t>
      </w:r>
      <w:r>
        <w:t xml:space="preserve">4-year vesting, 1-year cliff.</w:t>
      </w:r>
    </w:p>
    <w:p>
      <w:pPr>
        <w:pStyle w:val="BodyText"/>
      </w:pPr>
      <w:r>
        <w:rPr>
          <w:b/>
          <w:bCs/>
        </w:rPr>
        <w:t xml:space="preserve">Acceleration:</w:t>
      </w:r>
      <w:r>
        <w:t xml:space="preserve"> </w:t>
      </w:r>
      <w:r>
        <w:t xml:space="preserve">Double-trigger on change of control + termination.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1" w:name="_88223db913a81c82e0434afb81ec6c0f31e96d8"/>
      <w:r>
        <w:t xml:space="preserve">11. Conditions Precedent</w:t>
      </w:r>
    </w:p>
    <w:p>
      <w:pPr>
        <w:pStyle w:val="Compact"/>
        <w:numPr>
          <w:ilvl w:val="0"/>
          <w:numId w:val="1002"/>
        </w:numPr>
      </w:pPr>
      <w:r>
        <w:t xml:space="preserve">Legal due diligence satisfactory</w:t>
      </w:r>
    </w:p>
    <w:p>
      <w:pPr>
        <w:pStyle w:val="Compact"/>
        <w:numPr>
          <w:ilvl w:val="0"/>
          <w:numId w:val="1002"/>
        </w:numPr>
      </w:pPr>
      <w:r>
        <w:t xml:space="preserve">IP assignments executed</w:t>
      </w:r>
    </w:p>
    <w:p>
      <w:pPr>
        <w:pStyle w:val="Compact"/>
        <w:numPr>
          <w:ilvl w:val="0"/>
          <w:numId w:val="1002"/>
        </w:numPr>
      </w:pPr>
      <w:r>
        <w:t xml:space="preserve">Cap table clean</w:t>
      </w:r>
    </w:p>
    <w:p>
      <w:pPr>
        <w:pStyle w:val="Compact"/>
        <w:numPr>
          <w:ilvl w:val="0"/>
          <w:numId w:val="1002"/>
        </w:numPr>
      </w:pPr>
      <w:r>
        <w:t xml:space="preserve">Founder agreements signed</w:t>
      </w:r>
    </w:p>
    <w:p>
      <w:pPr>
        <w:pStyle w:val="Compact"/>
        <w:numPr>
          <w:ilvl w:val="0"/>
          <w:numId w:val="1002"/>
        </w:numPr>
      </w:pPr>
      <w:r>
        <w:t xml:space="preserve">No material adverse change</w:t>
      </w:r>
    </w:p>
    <w:p>
      <w:pPr>
        <w:pStyle w:val="Compact"/>
        <w:numPr>
          <w:ilvl w:val="0"/>
          <w:numId w:val="1002"/>
        </w:numPr>
      </w:pPr>
      <w:r>
        <w:t xml:space="preserve">Board approval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2" w:name="_closing"/>
      <w:r>
        <w:t xml:space="preserve">12. Closing</w:t>
      </w:r>
    </w:p>
    <w:p>
      <w:pPr>
        <w:pStyle w:val="FirstParagraph"/>
      </w:pPr>
      <w:r>
        <w:rPr>
          <w:b/>
          <w:bCs/>
        </w:rPr>
        <w:t xml:space="preserve">Target:</w:t>
      </w:r>
      <w:r>
        <w:t xml:space="preserve"> </w:t>
      </w:r>
      <w:r>
        <w:t xml:space="preserve">Within 60 days of signing.</w:t>
      </w:r>
    </w:p>
    <w:p>
      <w:pPr>
        <w:pStyle w:val="BodyText"/>
      </w:pPr>
      <w:r>
        <w:rPr>
          <w:b/>
          <w:bCs/>
        </w:rPr>
        <w:t xml:space="preserve">Deliverables:</w:t>
      </w:r>
      <w:r>
        <w:t xml:space="preserve"> </w:t>
      </w:r>
      <w:r>
        <w:t xml:space="preserve">- Shareholder approval</w:t>
      </w:r>
      <w:r>
        <w:t xml:space="preserve"> </w:t>
      </w:r>
      <w:r>
        <w:t xml:space="preserve">- Share issuance</w:t>
      </w:r>
      <w:r>
        <w:t xml:space="preserve"> </w:t>
      </w:r>
      <w:r>
        <w:t xml:space="preserve">- Payment</w:t>
      </w:r>
      <w:r>
        <w:t xml:space="preserve"> </w:t>
      </w:r>
      <w:r>
        <w:t xml:space="preserve">- Updated cap table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3" w:name="_816ff414627b9c0347624b7b37d0b0d498a46b4"/>
      <w:r>
        <w:t xml:space="preserve">13. Governing Law</w:t>
      </w:r>
    </w:p>
    <w:p>
      <w:pPr>
        <w:pStyle w:val="FirstParagraph"/>
      </w:pPr>
      <w:r>
        <w:t xml:space="preserve">Laws of the Kingdom of Saudi Arabia.</w:t>
      </w:r>
    </w:p>
    <w:p>
      <w:pPr>
        <w:pStyle w:val="BodyText"/>
      </w:pPr>
      <w:r>
        <w:rPr>
          <w:b/>
          <w:bCs/>
        </w:rPr>
        <w:t xml:space="preserve">Jurisdiction:</w:t>
      </w:r>
      <w:r>
        <w:t xml:space="preserve"> </w:t>
      </w:r>
      <w:r>
        <w:t xml:space="preserve">Courts of Riyadh.</w:t>
      </w:r>
      <w:r>
        <w:t xml:space="preserve"> </w:t>
      </w:r>
      <w:r>
        <w:rPr>
          <w:b/>
          <w:bCs/>
        </w:rPr>
        <w:t xml:space="preserve">Dispute Resolution:</w:t>
      </w:r>
      <w:r>
        <w:t xml:space="preserve"> </w:t>
      </w:r>
      <w:r>
        <w:t xml:space="preserve">Arbitration (SCCA).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4" w:name="_disclaimer"/>
      <w:r>
        <w:t xml:space="preserve">14. Disclaimer</w:t>
      </w:r>
    </w:p>
    <w:p>
      <w:pPr>
        <w:pStyle w:val="FirstParagraph"/>
      </w:pPr>
      <w:r>
        <w:t xml:space="preserve">This Term Sheet is a summary of proposed terms for discussion purposes only. It does not constitute a binding commitment. Final terms subject to definitive agreements and due diligence.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HISN FCDOS — Where Trust Begins.</w:t>
      </w:r>
      <w:r>
        <w:t xml:space="preserve"> </w:t>
      </w: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 Term Sheet</dc:title>
  <dc:creator>HISN Platform</dc:creator>
  <cp:keywords>HISN, FCDOS, financial crime, decision operating system</cp:keywords>
  <dcterms:created xsi:type="dcterms:W3CDTF">2026-10-14T13:20:11Z</dcterms:created>
  <dcterms:modified xsi:type="dcterms:W3CDTF">2026-10-14T13:20:11Z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