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04_Market_Standards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496da8ffe1f343db3de233814b7d609843d121d"/>
      <w:r>
        <w:t xml:space="preserve">TERM SHEET — MARKET STANDARDS</w:t>
      </w:r>
    </w:p>
    <w:p>
      <w:pPr>
        <w:pStyle w:val="FirstParagraph"/>
      </w:pPr>
      <w:r>
        <w:rPr>
          <w:b/>
          <w:bCs/>
        </w:rPr>
        <w:t xml:space="preserve">Date:</w:t>
      </w:r>
      <w:r>
        <w:t xml:space="preserve"> </w:t>
      </w:r>
      <w:r>
        <w:t xml:space="preserve">14 October 2026 |</w:t>
      </w:r>
      <w:r>
        <w:t xml:space="preserve"> </w:t>
      </w:r>
      <w:r>
        <w:rPr>
          <w:b/>
          <w:bCs/>
        </w:rPr>
        <w:t xml:space="preserve">Region:</w:t>
      </w:r>
      <w:r>
        <w:t xml:space="preserve"> </w:t>
      </w:r>
      <w:r>
        <w:t xml:space="preserve">KSA / GCC / Global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181ed927ca7b5c510099e1959cdf3cc26a4f428"/>
      <w:r>
        <w:t xml:space="preserve">1. Market Benchmark — Seed Round Terms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Clause</w:t>
            </w:r>
          </w:p>
        </w:tc>
        <w:tc>
          <w:tcPr/>
          <w:p>
            <w:pPr>
              <w:pStyle w:val="Compact"/>
            </w:pPr>
            <w:r>
              <w:t xml:space="preserve">Market Standard</w:t>
            </w:r>
          </w:p>
        </w:tc>
        <w:tc>
          <w:tcPr/>
          <w:p>
            <w:pPr>
              <w:pStyle w:val="Compact"/>
            </w:pPr>
            <w:r>
              <w:t xml:space="preserve">Founder-Friendly</w:t>
            </w:r>
          </w:p>
        </w:tc>
        <w:tc>
          <w:tcPr/>
          <w:p>
            <w:pPr>
              <w:pStyle w:val="Compact"/>
            </w:pPr>
            <w:r>
              <w:t xml:space="preserve">Investor-Friendly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Valuation</w:t>
            </w:r>
          </w:p>
        </w:tc>
        <w:tc>
          <w:tcPr/>
          <w:p>
            <w:pPr>
              <w:pStyle w:val="Compact"/>
            </w:pPr>
            <w:r>
              <w:t xml:space="preserve">SAR 25-35M</w:t>
            </w:r>
          </w:p>
        </w:tc>
        <w:tc>
          <w:tcPr/>
          <w:p>
            <w:pPr>
              <w:pStyle w:val="Compact"/>
            </w:pPr>
            <w:r>
              <w:t xml:space="preserve">SAR 35M+</w:t>
            </w:r>
          </w:p>
        </w:tc>
        <w:tc>
          <w:tcPr/>
          <w:p>
            <w:pPr>
              <w:pStyle w:val="Compact"/>
            </w:pPr>
            <w:r>
              <w:t xml:space="preserve">SAR 20M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Liquidation Pref</w:t>
            </w:r>
          </w:p>
        </w:tc>
        <w:tc>
          <w:tcPr/>
          <w:p>
            <w:pPr>
              <w:pStyle w:val="Compact"/>
            </w:pPr>
            <w:r>
              <w:t xml:space="preserve">1x non-part.</w:t>
            </w:r>
          </w:p>
        </w:tc>
        <w:tc>
          <w:tcPr/>
          <w:p>
            <w:pPr>
              <w:pStyle w:val="Compact"/>
            </w:pPr>
            <w:r>
              <w:t xml:space="preserve">1x non-part.</w:t>
            </w:r>
          </w:p>
        </w:tc>
        <w:tc>
          <w:tcPr/>
          <w:p>
            <w:pPr>
              <w:pStyle w:val="Compact"/>
            </w:pPr>
            <w:r>
              <w:t xml:space="preserve">1x part.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Anti-Dilution</w:t>
            </w:r>
          </w:p>
        </w:tc>
        <w:tc>
          <w:tcPr/>
          <w:p>
            <w:pPr>
              <w:pStyle w:val="Compact"/>
            </w:pPr>
            <w:r>
              <w:t xml:space="preserve">Broad-based</w:t>
            </w:r>
          </w:p>
        </w:tc>
        <w:tc>
          <w:tcPr/>
          <w:p>
            <w:pPr>
              <w:pStyle w:val="Compact"/>
            </w:pPr>
            <w:r>
              <w:t xml:space="preserve">Broad-based</w:t>
            </w:r>
          </w:p>
        </w:tc>
        <w:tc>
          <w:tcPr/>
          <w:p>
            <w:pPr>
              <w:pStyle w:val="Compact"/>
            </w:pPr>
            <w:r>
              <w:t xml:space="preserve">Full ratchet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Board</w:t>
            </w:r>
          </w:p>
        </w:tc>
        <w:tc>
          <w:tcPr/>
          <w:p>
            <w:pPr>
              <w:pStyle w:val="Compact"/>
            </w:pPr>
            <w:r>
              <w:t xml:space="preserve">3 (2F, 1I)</w:t>
            </w:r>
          </w:p>
        </w:tc>
        <w:tc>
          <w:tcPr/>
          <w:p>
            <w:pPr>
              <w:pStyle w:val="Compact"/>
            </w:pPr>
            <w:r>
              <w:t xml:space="preserve">3 (2F, 1I)</w:t>
            </w:r>
          </w:p>
        </w:tc>
        <w:tc>
          <w:tcPr/>
          <w:p>
            <w:pPr>
              <w:pStyle w:val="Compact"/>
            </w:pPr>
            <w:r>
              <w:t xml:space="preserve">5 (3I, 2F)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ESOP</w:t>
            </w:r>
          </w:p>
        </w:tc>
        <w:tc>
          <w:tcPr/>
          <w:p>
            <w:pPr>
              <w:pStyle w:val="Compact"/>
            </w:pPr>
            <w:r>
              <w:t xml:space="preserve">10% pre</w:t>
            </w:r>
          </w:p>
        </w:tc>
        <w:tc>
          <w:tcPr/>
          <w:p>
            <w:pPr>
              <w:pStyle w:val="Compact"/>
            </w:pPr>
            <w:r>
              <w:t xml:space="preserve">10% post</w:t>
            </w:r>
          </w:p>
        </w:tc>
        <w:tc>
          <w:tcPr/>
          <w:p>
            <w:pPr>
              <w:pStyle w:val="Compact"/>
            </w:pPr>
            <w:r>
              <w:t xml:space="preserve">15% pre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Pro-Rata</w:t>
            </w:r>
          </w:p>
        </w:tc>
        <w:tc>
          <w:tcPr/>
          <w:p>
            <w:pPr>
              <w:pStyle w:val="Compact"/>
            </w:pPr>
            <w:r>
              <w:t xml:space="preserve">Standard</w:t>
            </w:r>
          </w:p>
        </w:tc>
        <w:tc>
          <w:tcPr/>
          <w:p>
            <w:pPr>
              <w:pStyle w:val="Compact"/>
            </w:pPr>
            <w:r>
              <w:t xml:space="preserve">Limited</w:t>
            </w:r>
          </w:p>
        </w:tc>
        <w:tc>
          <w:tcPr/>
          <w:p>
            <w:pPr>
              <w:pStyle w:val="Compact"/>
            </w:pPr>
            <w:r>
              <w:t xml:space="preserve">Super pro-rata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Drag-Along</w:t>
            </w:r>
          </w:p>
        </w:tc>
        <w:tc>
          <w:tcPr/>
          <w:p>
            <w:pPr>
              <w:pStyle w:val="Compact"/>
            </w:pPr>
            <w:r>
              <w:t xml:space="preserve">Board + Maj</w:t>
            </w:r>
          </w:p>
        </w:tc>
        <w:tc>
          <w:tcPr/>
          <w:p>
            <w:pPr>
              <w:pStyle w:val="Compact"/>
            </w:pPr>
            <w:r>
              <w:t xml:space="preserve">Board + 75%</w:t>
            </w:r>
          </w:p>
        </w:tc>
        <w:tc>
          <w:tcPr/>
          <w:p>
            <w:pPr>
              <w:pStyle w:val="Compact"/>
            </w:pPr>
            <w:r>
              <w:t xml:space="preserve">Board only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ROFR</w:t>
            </w:r>
          </w:p>
        </w:tc>
        <w:tc>
          <w:tcPr/>
          <w:p>
            <w:pPr>
              <w:pStyle w:val="Compact"/>
            </w:pPr>
            <w:r>
              <w:t xml:space="preserve">30 days</w:t>
            </w:r>
          </w:p>
        </w:tc>
        <w:tc>
          <w:tcPr/>
          <w:p>
            <w:pPr>
              <w:pStyle w:val="Compact"/>
            </w:pPr>
            <w:r>
              <w:t xml:space="preserve">30 days</w:t>
            </w:r>
          </w:p>
        </w:tc>
        <w:tc>
          <w:tcPr/>
          <w:p>
            <w:pPr>
              <w:pStyle w:val="Compact"/>
            </w:pPr>
            <w:r>
              <w:t xml:space="preserve">60 days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Founder Vesting</w:t>
            </w:r>
          </w:p>
        </w:tc>
        <w:tc>
          <w:tcPr/>
          <w:p>
            <w:pPr>
              <w:pStyle w:val="Compact"/>
            </w:pPr>
            <w:r>
              <w:t xml:space="preserve">4y, 1y cliff</w:t>
            </w:r>
          </w:p>
        </w:tc>
        <w:tc>
          <w:tcPr/>
          <w:p>
            <w:pPr>
              <w:pStyle w:val="Compact"/>
            </w:pPr>
            <w:r>
              <w:t xml:space="preserve">4y, 1y cliff</w:t>
            </w:r>
          </w:p>
        </w:tc>
        <w:tc>
          <w:tcPr/>
          <w:p>
            <w:pPr>
              <w:pStyle w:val="Compact"/>
            </w:pPr>
            <w:r>
              <w:t xml:space="preserve">4y, 1y cliff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Accel.</w:t>
            </w:r>
          </w:p>
        </w:tc>
        <w:tc>
          <w:tcPr/>
          <w:p>
            <w:pPr>
              <w:pStyle w:val="Compact"/>
            </w:pPr>
            <w:r>
              <w:t xml:space="preserve">Double trigger</w:t>
            </w:r>
          </w:p>
        </w:tc>
        <w:tc>
          <w:tcPr/>
          <w:p>
            <w:pPr>
              <w:pStyle w:val="Compact"/>
            </w:pPr>
            <w:r>
              <w:t xml:space="preserve">Single + Double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Info Rights</w:t>
            </w:r>
          </w:p>
        </w:tc>
        <w:tc>
          <w:tcPr/>
          <w:p>
            <w:pPr>
              <w:pStyle w:val="Compact"/>
            </w:pPr>
            <w:r>
              <w:t xml:space="preserve">Monthly</w:t>
            </w:r>
          </w:p>
        </w:tc>
        <w:tc>
          <w:tcPr/>
          <w:p>
            <w:pPr>
              <w:pStyle w:val="Compact"/>
            </w:pPr>
            <w:r>
              <w:t xml:space="preserve">Quarterly</w:t>
            </w:r>
          </w:p>
        </w:tc>
        <w:tc>
          <w:tcPr/>
          <w:p>
            <w:pPr>
              <w:pStyle w:val="Compact"/>
            </w:pPr>
            <w:r>
              <w:t xml:space="preserve">Monthly + audit</w:t>
            </w:r>
          </w:p>
        </w:tc>
      </w:tr>
    </w:tbl>
    <w:p>
      <w:pPr>
        <w:pStyle w:val="Heading2"/>
      </w:pPr>
      <w:bookmarkStart w:id="11" w:name="_53afe01312b9ca1a5ea1f498571df25a4ee7659"/>
      <w:r>
        <w:t xml:space="preserve">2. KSA-Specific Standards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KSA Standard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Governing Law</w:t>
            </w:r>
          </w:p>
        </w:tc>
        <w:tc>
          <w:tcPr/>
          <w:p>
            <w:pPr>
              <w:pStyle w:val="Compact"/>
            </w:pPr>
            <w:r>
              <w:t xml:space="preserve">KSA</w:t>
            </w:r>
          </w:p>
        </w:tc>
      </w:tr>
      <w:tr>
        <w:tc>
          <w:tcPr/>
          <w:p>
            <w:pPr>
              <w:pStyle w:val="Compact"/>
            </w:pPr>
            <w:r>
              <w:t xml:space="preserve">Jurisdiction</w:t>
            </w:r>
          </w:p>
        </w:tc>
        <w:tc>
          <w:tcPr/>
          <w:p>
            <w:pPr>
              <w:pStyle w:val="Compact"/>
            </w:pPr>
            <w:r>
              <w:t xml:space="preserve">Riyadh (SCCA)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Currency</w:t>
            </w:r>
          </w:p>
        </w:tc>
        <w:tc>
          <w:tcPr/>
          <w:p>
            <w:pPr>
              <w:pStyle w:val="Compact"/>
            </w:pPr>
            <w:r>
              <w:t xml:space="preserve">SAR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Corporate Form</w:t>
            </w:r>
          </w:p>
        </w:tc>
        <w:tc>
          <w:tcPr/>
          <w:p>
            <w:pPr>
              <w:pStyle w:val="Compact"/>
            </w:pPr>
            <w:r>
              <w:t xml:space="preserve">LLC or JSC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Regulatory</w:t>
            </w:r>
          </w:p>
        </w:tc>
        <w:tc>
          <w:tcPr/>
          <w:p>
            <w:pPr>
              <w:pStyle w:val="Compact"/>
            </w:pPr>
            <w:r>
              <w:t xml:space="preserve">MISA, CMA, SAMA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Tax</w:t>
            </w:r>
          </w:p>
        </w:tc>
        <w:tc>
          <w:tcPr/>
          <w:p>
            <w:pPr>
              <w:pStyle w:val="Compact"/>
            </w:pPr>
            <w:r>
              <w:t xml:space="preserve">Zakat (Saudi), VAT 15%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Employment</w:t>
            </w:r>
          </w:p>
        </w:tc>
        <w:tc>
          <w:tcPr/>
          <w:p>
            <w:pPr>
              <w:pStyle w:val="Compact"/>
            </w:pPr>
            <w:r>
              <w:t xml:space="preserve">KSA Labor Law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</w:t>
            </w:r>
          </w:p>
        </w:tc>
        <w:tc>
          <w:tcPr/>
          <w:p>
            <w:pPr>
              <w:pStyle w:val="Compact"/>
            </w:pPr>
            <w:r>
              <w:t xml:space="preserve">PDPL</w:t>
            </w:r>
          </w:p>
        </w:tc>
      </w:tr>
    </w:tbl>
    <w:p>
      <w:pPr>
        <w:pStyle w:val="Heading2"/>
      </w:pPr>
      <w:bookmarkStart w:id="12" w:name="_a006812885700a43dea1f3d5b7f9c1e9a5c2089"/>
      <w:r>
        <w:t xml:space="preserve">3. GCC Comparison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KSA</w:t>
            </w:r>
          </w:p>
        </w:tc>
        <w:tc>
          <w:tcPr/>
          <w:p>
            <w:pPr>
              <w:pStyle w:val="Compact"/>
            </w:pPr>
            <w:r>
              <w:t xml:space="preserve">UAE</w:t>
            </w:r>
          </w:p>
        </w:tc>
        <w:tc>
          <w:tcPr/>
          <w:p>
            <w:pPr>
              <w:pStyle w:val="Compact"/>
            </w:pPr>
            <w:r>
              <w:t xml:space="preserve">Bahrain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Foreign Ownership</w:t>
            </w:r>
          </w:p>
        </w:tc>
        <w:tc>
          <w:tcPr/>
          <w:p>
            <w:pPr>
              <w:pStyle w:val="Compact"/>
            </w:pPr>
            <w:r>
              <w:t xml:space="preserve">Restricted (some)</w:t>
            </w:r>
          </w:p>
        </w:tc>
        <w:tc>
          <w:tcPr/>
          <w:p>
            <w:pPr>
              <w:pStyle w:val="Compact"/>
            </w:pPr>
            <w:r>
              <w:t xml:space="preserve">Free zones</w:t>
            </w:r>
          </w:p>
        </w:tc>
        <w:tc>
          <w:tcPr/>
          <w:p>
            <w:pPr>
              <w:pStyle w:val="Compact"/>
            </w:pPr>
            <w:r>
              <w:t xml:space="preserve">Free zones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Tax</w:t>
            </w:r>
          </w:p>
        </w:tc>
        <w:tc>
          <w:tcPr/>
          <w:p>
            <w:pPr>
              <w:pStyle w:val="Compact"/>
            </w:pPr>
            <w:r>
              <w:t xml:space="preserve">20% CIT + 2.5% Zakat</w:t>
            </w:r>
          </w:p>
        </w:tc>
        <w:tc>
          <w:tcPr/>
          <w:p>
            <w:pPr>
              <w:pStyle w:val="Compact"/>
            </w:pPr>
            <w:r>
              <w:t xml:space="preserve">9% CT</w:t>
            </w:r>
          </w:p>
        </w:tc>
        <w:tc>
          <w:tcPr/>
          <w:p>
            <w:pPr>
              <w:pStyle w:val="Compact"/>
            </w:pPr>
            <w:r>
              <w:t xml:space="preserve">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Currency</w:t>
            </w:r>
          </w:p>
        </w:tc>
        <w:tc>
          <w:tcPr/>
          <w:p>
            <w:pPr>
              <w:pStyle w:val="Compact"/>
            </w:pPr>
            <w:r>
              <w:t xml:space="preserve">SAR</w:t>
            </w:r>
          </w:p>
        </w:tc>
        <w:tc>
          <w:tcPr/>
          <w:p>
            <w:pPr>
              <w:pStyle w:val="Compact"/>
            </w:pPr>
            <w:r>
              <w:t xml:space="preserve">AED</w:t>
            </w:r>
          </w:p>
        </w:tc>
        <w:tc>
          <w:tcPr/>
          <w:p>
            <w:pPr>
              <w:pStyle w:val="Compact"/>
            </w:pPr>
            <w:r>
              <w:t xml:space="preserve">BHD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Regulator</w:t>
            </w:r>
          </w:p>
        </w:tc>
        <w:tc>
          <w:tcPr/>
          <w:p>
            <w:pPr>
              <w:pStyle w:val="Compact"/>
            </w:pPr>
            <w:r>
              <w:t xml:space="preserve">CMA/SAMA</w:t>
            </w:r>
          </w:p>
        </w:tc>
        <w:tc>
          <w:tcPr/>
          <w:p>
            <w:pPr>
              <w:pStyle w:val="Compact"/>
            </w:pPr>
            <w:r>
              <w:t xml:space="preserve">DFSA/SCA</w:t>
            </w:r>
          </w:p>
        </w:tc>
        <w:tc>
          <w:tcPr/>
          <w:p>
            <w:pPr>
              <w:pStyle w:val="Compact"/>
            </w:pPr>
            <w:r>
              <w:t xml:space="preserve">CBB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Legal System</w:t>
            </w:r>
          </w:p>
        </w:tc>
        <w:tc>
          <w:tcPr/>
          <w:p>
            <w:pPr>
              <w:pStyle w:val="Compact"/>
            </w:pPr>
            <w:r>
              <w:t xml:space="preserve">Civil</w:t>
            </w:r>
          </w:p>
        </w:tc>
        <w:tc>
          <w:tcPr/>
          <w:p>
            <w:pPr>
              <w:pStyle w:val="Compact"/>
            </w:pPr>
            <w:r>
              <w:t xml:space="preserve">Mixed</w:t>
            </w:r>
          </w:p>
        </w:tc>
        <w:tc>
          <w:tcPr/>
          <w:p>
            <w:pPr>
              <w:pStyle w:val="Compact"/>
            </w:pPr>
            <w:r>
              <w:t xml:space="preserve">Common</w:t>
            </w:r>
          </w:p>
        </w:tc>
      </w:tr>
    </w:tbl>
    <w:p>
      <w:pPr>
        <w:pStyle w:val="Heading2"/>
      </w:pPr>
      <w:bookmarkStart w:id="13" w:name="_7fd36a2c4b7ee5af4e38604451f70dd1b726636"/>
      <w:r>
        <w:t xml:space="preserve">4. Global Standard (Delaware/US)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Standard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Preferred Stock</w:t>
            </w:r>
          </w:p>
        </w:tc>
        <w:tc>
          <w:tcPr/>
          <w:p>
            <w:pPr>
              <w:pStyle w:val="Compact"/>
            </w:pPr>
            <w:r>
              <w:t xml:space="preserve">Series Seed Preferred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Liquidation Pref</w:t>
            </w:r>
          </w:p>
        </w:tc>
        <w:tc>
          <w:tcPr/>
          <w:p>
            <w:pPr>
              <w:pStyle w:val="Compact"/>
            </w:pPr>
            <w:r>
              <w:t xml:space="preserve">1x non-participating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Anti-Dilution</w:t>
            </w:r>
          </w:p>
        </w:tc>
        <w:tc>
          <w:tcPr/>
          <w:p>
            <w:pPr>
              <w:pStyle w:val="Compact"/>
            </w:pPr>
            <w:r>
              <w:t xml:space="preserve">Broad-based weighted average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Board</w:t>
            </w:r>
          </w:p>
        </w:tc>
        <w:tc>
          <w:tcPr/>
          <w:p>
            <w:pPr>
              <w:pStyle w:val="Compact"/>
            </w:pPr>
            <w:r>
              <w:t xml:space="preserve">2F, 1I (Seed)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Protective Provisions</w:t>
            </w:r>
          </w:p>
        </w:tc>
        <w:tc>
          <w:tcPr/>
          <w:p>
            <w:pPr>
              <w:pStyle w:val="Compact"/>
            </w:pPr>
            <w:r>
              <w:t xml:space="preserve">Standard list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Pro-Rata</w:t>
            </w:r>
          </w:p>
        </w:tc>
        <w:tc>
          <w:tcPr/>
          <w:p>
            <w:pPr>
              <w:pStyle w:val="Compact"/>
            </w:pPr>
            <w:r>
              <w:t xml:space="preserve">Standard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Drag-Along</w:t>
            </w:r>
          </w:p>
        </w:tc>
        <w:tc>
          <w:tcPr/>
          <w:p>
            <w:pPr>
              <w:pStyle w:val="Compact"/>
            </w:pPr>
            <w:r>
              <w:t xml:space="preserve">Board + majority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Information Rights</w:t>
            </w:r>
          </w:p>
        </w:tc>
        <w:tc>
          <w:tcPr/>
          <w:p>
            <w:pPr>
              <w:pStyle w:val="Compact"/>
            </w:pPr>
            <w:r>
              <w:t xml:space="preserve">Standard</w:t>
            </w:r>
          </w:p>
        </w:tc>
      </w:tr>
    </w:tbl>
    <w:p>
      <w:pPr>
        <w:pStyle w:val="Heading2"/>
      </w:pPr>
      <w:bookmarkStart w:id="14" w:name="_627442be236204fd51907ded8fc68b36dea3660"/>
      <w:r>
        <w:t xml:space="preserve">5. Recent KSA Seed Rounds (Benchmarking)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Company</w:t>
            </w:r>
          </w:p>
        </w:tc>
        <w:tc>
          <w:tcPr/>
          <w:p>
            <w:pPr>
              <w:pStyle w:val="Compact"/>
            </w:pPr>
            <w:r>
              <w:t xml:space="preserve">Sector</w:t>
            </w:r>
          </w:p>
        </w:tc>
        <w:tc>
          <w:tcPr/>
          <w:p>
            <w:pPr>
              <w:pStyle w:val="Compact"/>
            </w:pPr>
            <w:r>
              <w:t xml:space="preserve">Round</w:t>
            </w:r>
          </w:p>
        </w:tc>
        <w:tc>
          <w:tcPr/>
          <w:p>
            <w:pPr>
              <w:pStyle w:val="Compact"/>
            </w:pPr>
            <w:r>
              <w:t xml:space="preserve">Pre-Money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[Comparable 1]</w:t>
            </w:r>
          </w:p>
        </w:tc>
        <w:tc>
          <w:tcPr/>
          <w:p>
            <w:pPr>
              <w:pStyle w:val="Compact"/>
            </w:pPr>
            <w:r>
              <w:t xml:space="preserve">FinTech</w:t>
            </w:r>
          </w:p>
        </w:tc>
        <w:tc>
          <w:tcPr/>
          <w:p>
            <w:pPr>
              <w:pStyle w:val="Compact"/>
            </w:pPr>
            <w:r>
              <w:t xml:space="preserve">Seed</w:t>
            </w:r>
          </w:p>
        </w:tc>
        <w:tc>
          <w:tcPr/>
          <w:p>
            <w:pPr>
              <w:pStyle w:val="Compact"/>
            </w:pPr>
            <w:r>
              <w:t xml:space="preserve">SAR X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[Comparable 2]</w:t>
            </w:r>
          </w:p>
        </w:tc>
        <w:tc>
          <w:tcPr/>
          <w:p>
            <w:pPr>
              <w:pStyle w:val="Compact"/>
            </w:pPr>
            <w:r>
              <w:t xml:space="preserve">SaaS</w:t>
            </w:r>
          </w:p>
        </w:tc>
        <w:tc>
          <w:tcPr/>
          <w:p>
            <w:pPr>
              <w:pStyle w:val="Compact"/>
            </w:pPr>
            <w:r>
              <w:t xml:space="preserve">Seed</w:t>
            </w:r>
          </w:p>
        </w:tc>
        <w:tc>
          <w:tcPr/>
          <w:p>
            <w:pPr>
              <w:pStyle w:val="Compact"/>
            </w:pPr>
            <w:r>
              <w:t xml:space="preserve">SAR X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[Comparable 3]</w:t>
            </w:r>
          </w:p>
        </w:tc>
        <w:tc>
          <w:tcPr/>
          <w:p>
            <w:pPr>
              <w:pStyle w:val="Compact"/>
            </w:pPr>
            <w:r>
              <w:t xml:space="preserve">RegTech</w:t>
            </w:r>
          </w:p>
        </w:tc>
        <w:tc>
          <w:tcPr/>
          <w:p>
            <w:pPr>
              <w:pStyle w:val="Compact"/>
            </w:pPr>
            <w:r>
              <w:t xml:space="preserve">Seed</w:t>
            </w:r>
          </w:p>
        </w:tc>
        <w:tc>
          <w:tcPr/>
          <w:p>
            <w:pPr>
              <w:pStyle w:val="Compact"/>
            </w:pPr>
            <w:r>
              <w:t xml:space="preserve">SAR X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p>
      <w:pPr>
        <w:pStyle w:val="FirstParagraph"/>
      </w:pPr>
      <w:r>
        <w:rPr>
          <w:i/>
          <w:iCs/>
        </w:rPr>
        <w:t xml:space="preserve">Note: Exact comparable data confidential; benchmarks from market intelligence.</w:t>
      </w:r>
    </w:p>
    <w:p>
      <w:pPr>
        <w:pStyle w:val="Heading2"/>
      </w:pPr>
      <w:bookmarkStart w:id="15" w:name="_41405297654e20e881522b2670666a676e40cc6"/>
      <w:r>
        <w:t xml:space="preserve">6. Negotiation Position</w:t>
      </w:r>
    </w:p>
    <w:p>
      <w:pPr>
        <w:pStyle w:val="FirstParagraph"/>
      </w:pPr>
      <w:r>
        <w:rPr>
          <w:b/>
          <w:bCs/>
        </w:rPr>
        <w:t xml:space="preserve">HISN Positioning:</w:t>
      </w:r>
      <w:r>
        <w:t xml:space="preserve"> </w:t>
      </w:r>
      <w:r>
        <w:t xml:space="preserve">- At market standard on most terms</w:t>
      </w:r>
      <w:r>
        <w:t xml:space="preserve"> </w:t>
      </w:r>
      <w:r>
        <w:t xml:space="preserve">- Above market on valuation (defensible by asset)</w:t>
      </w:r>
      <w:r>
        <w:t xml:space="preserve"> </w:t>
      </w:r>
      <w:r>
        <w:t xml:space="preserve">- Below market on founder dilution</w:t>
      </w:r>
      <w:r>
        <w:t xml:space="preserve"> </w:t>
      </w:r>
      <w:r>
        <w:t xml:space="preserve">- Clean cap table (differentiator)</w:t>
      </w:r>
    </w:p>
    <w:p>
      <w:pPr>
        <w:pStyle w:val="BodyText"/>
      </w:pPr>
      <w:r>
        <w:rPr>
          <w:b/>
          <w:bCs/>
        </w:rPr>
        <w:t xml:space="preserve">Rationale:</w:t>
      </w:r>
      <w:r>
        <w:t xml:space="preserve"> </w:t>
      </w:r>
      <w:r>
        <w:t xml:space="preserve">- Technical asset justifies premium</w:t>
      </w:r>
      <w:r>
        <w:t xml:space="preserve"> </w:t>
      </w:r>
      <w:r>
        <w:t xml:space="preserve">- Clean governance attractive to future investors</w:t>
      </w:r>
      <w:r>
        <w:t xml:space="preserve"> </w:t>
      </w:r>
      <w:r>
        <w:t xml:space="preserve">- Conservative anchor for negotiation room</w:t>
      </w:r>
    </w:p>
    <w:p>
      <w:pPr>
        <w:pStyle w:val="Heading2"/>
      </w:pPr>
      <w:bookmarkStart w:id="16" w:name="_cc96c3afe870c81eafdb6afa66396fb279482b3"/>
      <w:r>
        <w:t xml:space="preserve">7. Deviation Log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Clause</w:t>
            </w:r>
          </w:p>
        </w:tc>
        <w:tc>
          <w:tcPr/>
          <w:p>
            <w:pPr>
              <w:pStyle w:val="Compact"/>
            </w:pPr>
            <w:r>
              <w:t xml:space="preserve">HISN Position</w:t>
            </w:r>
          </w:p>
        </w:tc>
        <w:tc>
          <w:tcPr/>
          <w:p>
            <w:pPr>
              <w:pStyle w:val="Compact"/>
            </w:pPr>
            <w:r>
              <w:t xml:space="preserve">Market</w:t>
            </w:r>
          </w:p>
        </w:tc>
        <w:tc>
          <w:tcPr/>
          <w:p>
            <w:pPr>
              <w:pStyle w:val="Compact"/>
            </w:pPr>
            <w:r>
              <w:t xml:space="preserve">Deviation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Valuation</w:t>
            </w:r>
          </w:p>
        </w:tc>
        <w:tc>
          <w:tcPr/>
          <w:p>
            <w:pPr>
              <w:pStyle w:val="Compact"/>
            </w:pPr>
            <w:r>
              <w:t xml:space="preserve">SAR 30M</w:t>
            </w:r>
          </w:p>
        </w:tc>
        <w:tc>
          <w:tcPr/>
          <w:p>
            <w:pPr>
              <w:pStyle w:val="Compact"/>
            </w:pPr>
            <w:r>
              <w:t xml:space="preserve">SAR 25-35M</w:t>
            </w:r>
          </w:p>
        </w:tc>
        <w:tc>
          <w:tcPr/>
          <w:p>
            <w:pPr>
              <w:pStyle w:val="Compact"/>
            </w:pPr>
            <w:r>
              <w:t xml:space="preserve">At market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Liquidation Pref</w:t>
            </w:r>
          </w:p>
        </w:tc>
        <w:tc>
          <w:tcPr/>
          <w:p>
            <w:pPr>
              <w:pStyle w:val="Compact"/>
            </w:pPr>
            <w:r>
              <w:t xml:space="preserve">1x non-part.</w:t>
            </w:r>
          </w:p>
        </w:tc>
        <w:tc>
          <w:tcPr/>
          <w:p>
            <w:pPr>
              <w:pStyle w:val="Compact"/>
            </w:pPr>
            <w:r>
              <w:t xml:space="preserve">1x non-part.</w:t>
            </w:r>
          </w:p>
        </w:tc>
        <w:tc>
          <w:tcPr/>
          <w:p>
            <w:pPr>
              <w:pStyle w:val="Compact"/>
            </w:pPr>
            <w:r>
              <w:t xml:space="preserve">Standard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Anti-Dilution</w:t>
            </w:r>
          </w:p>
        </w:tc>
        <w:tc>
          <w:tcPr/>
          <w:p>
            <w:pPr>
              <w:pStyle w:val="Compact"/>
            </w:pPr>
            <w:r>
              <w:t xml:space="preserve">Broad-based</w:t>
            </w:r>
          </w:p>
        </w:tc>
        <w:tc>
          <w:tcPr/>
          <w:p>
            <w:pPr>
              <w:pStyle w:val="Compact"/>
            </w:pPr>
            <w:r>
              <w:t xml:space="preserve">Broad-based</w:t>
            </w:r>
          </w:p>
        </w:tc>
        <w:tc>
          <w:tcPr/>
          <w:p>
            <w:pPr>
              <w:pStyle w:val="Compact"/>
            </w:pPr>
            <w:r>
              <w:t xml:space="preserve">Standard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Board</w:t>
            </w:r>
          </w:p>
        </w:tc>
        <w:tc>
          <w:tcPr/>
          <w:p>
            <w:pPr>
              <w:pStyle w:val="Compact"/>
            </w:pPr>
            <w:r>
              <w:t xml:space="preserve">3 (2F, 1I)</w:t>
            </w:r>
          </w:p>
        </w:tc>
        <w:tc>
          <w:tcPr/>
          <w:p>
            <w:pPr>
              <w:pStyle w:val="Compact"/>
            </w:pPr>
            <w:r>
              <w:t xml:space="preserve">3 (2F, 1I)</w:t>
            </w:r>
          </w:p>
        </w:tc>
        <w:tc>
          <w:tcPr/>
          <w:p>
            <w:pPr>
              <w:pStyle w:val="Compact"/>
            </w:pPr>
            <w:r>
              <w:t xml:space="preserve">Standard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ESOP</w:t>
            </w:r>
          </w:p>
        </w:tc>
        <w:tc>
          <w:tcPr/>
          <w:p>
            <w:pPr>
              <w:pStyle w:val="Compact"/>
            </w:pPr>
            <w:r>
              <w:t xml:space="preserve">10% pre</w:t>
            </w:r>
          </w:p>
        </w:tc>
        <w:tc>
          <w:tcPr/>
          <w:p>
            <w:pPr>
              <w:pStyle w:val="Compact"/>
            </w:pPr>
            <w:r>
              <w:t xml:space="preserve">10% pre</w:t>
            </w:r>
          </w:p>
        </w:tc>
        <w:tc>
          <w:tcPr/>
          <w:p>
            <w:pPr>
              <w:pStyle w:val="Compact"/>
            </w:pPr>
            <w:r>
              <w:t xml:space="preserve">Standard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Founder Vesting</w:t>
            </w:r>
          </w:p>
        </w:tc>
        <w:tc>
          <w:tcPr/>
          <w:p>
            <w:pPr>
              <w:pStyle w:val="Compact"/>
            </w:pPr>
            <w:r>
              <w:t xml:space="preserve">4y, 1y cliff</w:t>
            </w:r>
          </w:p>
        </w:tc>
        <w:tc>
          <w:tcPr/>
          <w:p>
            <w:pPr>
              <w:pStyle w:val="Compact"/>
            </w:pPr>
            <w:r>
              <w:t xml:space="preserve">4y, 1y cliff</w:t>
            </w:r>
          </w:p>
        </w:tc>
        <w:tc>
          <w:tcPr/>
          <w:p>
            <w:pPr>
              <w:pStyle w:val="Compact"/>
            </w:pPr>
            <w:r>
              <w:t xml:space="preserve">Standard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Conclusion:</w:t>
      </w:r>
      <w:r>
        <w:t xml:space="preserve"> </w:t>
      </w:r>
      <w:r>
        <w:t xml:space="preserve">Term sheet tracks market standards with no material deviations.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Market standards from public benchmarks, legal advisor guidance, and market intelligence.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Investor Relations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Market Standards</dc:title>
  <dc:creator>HISN Platform</dc:creator>
  <cp:keywords>HISN, FCDOS, financial crime, decision operating system</cp:keywords>
  <dcterms:created xsi:type="dcterms:W3CDTF">2026-10-14T09:35:04Z</dcterms:created>
  <dcterms:modified xsi:type="dcterms:W3CDTF">2026-10-14T09:35:04Z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