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04_Return_Waterfall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25228ddbc8ceeb4015d90ed2b396c64ff1bfab9"/>
      <w:r>
        <w:t xml:space="preserve">RETURN WATERFALL ANALYSIS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Currency:</w:t>
      </w:r>
      <w:r>
        <w:t xml:space="preserve"> </w:t>
      </w:r>
      <w:r>
        <w:t xml:space="preserve">SAR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98606a86c3b8a7fd913ee0b9c6c3e35f75ea14a"/>
      <w:r>
        <w:t xml:space="preserve">1. Cap Table Assumptions</w:t>
      </w:r>
    </w:p>
    <w:p>
      <w:pPr>
        <w:pStyle w:val="FirstParagraph"/>
      </w:pPr>
      <w:r>
        <w:rPr>
          <w:b/>
          <w:bCs/>
        </w:rPr>
        <w:t xml:space="preserve">At Seed (Current):</w:t>
      </w:r>
      <w:r>
        <w:t xml:space="preserve"> </w:t>
      </w:r>
      <w:r>
        <w:t xml:space="preserve">| Holder | % |</w:t>
      </w:r>
      <w:r>
        <w:t xml:space="preserve"> </w:t>
      </w:r>
      <w:r>
        <w:t xml:space="preserve">|—|—|</w:t>
      </w:r>
      <w:r>
        <w:t xml:space="preserve"> </w:t>
      </w:r>
      <w:r>
        <w:t xml:space="preserve">| Founder | 100% |</w:t>
      </w:r>
      <w:r>
        <w:t xml:space="preserve"> </w:t>
      </w:r>
      <w:r>
        <w:t xml:space="preserve">| Investor (new) | — |</w:t>
      </w:r>
    </w:p>
    <w:p>
      <w:pPr>
        <w:pStyle w:val="BodyText"/>
      </w:pPr>
      <w:r>
        <w:rPr>
          <w:b/>
          <w:bCs/>
        </w:rPr>
        <w:t xml:space="preserve">Post-Seed:</w:t>
      </w:r>
      <w:r>
        <w:t xml:space="preserve"> </w:t>
      </w:r>
      <w:r>
        <w:t xml:space="preserve">| Holder | % |</w:t>
      </w:r>
      <w:r>
        <w:t xml:space="preserve"> </w:t>
      </w:r>
      <w:r>
        <w:t xml:space="preserve">|—|—|</w:t>
      </w:r>
      <w:r>
        <w:t xml:space="preserve"> </w:t>
      </w:r>
      <w:r>
        <w:t xml:space="preserve">| Founder | 80% |</w:t>
      </w:r>
      <w:r>
        <w:t xml:space="preserve"> </w:t>
      </w:r>
      <w:r>
        <w:t xml:space="preserve">| Seed Investor | 20% |</w:t>
      </w:r>
    </w:p>
    <w:p>
      <w:pPr>
        <w:pStyle w:val="BodyText"/>
      </w:pPr>
      <w:r>
        <w:rPr>
          <w:b/>
          <w:bCs/>
        </w:rPr>
        <w:t xml:space="preserve">Post-Series A (Illustrative):</w:t>
      </w:r>
      <w:r>
        <w:t xml:space="preserve"> </w:t>
      </w:r>
      <w:r>
        <w:t xml:space="preserve">| Holder | % |</w:t>
      </w:r>
      <w:r>
        <w:t xml:space="preserve"> </w:t>
      </w:r>
      <w:r>
        <w:t xml:space="preserve">|—|—|</w:t>
      </w:r>
      <w:r>
        <w:t xml:space="preserve"> </w:t>
      </w:r>
      <w:r>
        <w:t xml:space="preserve">| Founder | 60% |</w:t>
      </w:r>
      <w:r>
        <w:t xml:space="preserve"> </w:t>
      </w:r>
      <w:r>
        <w:t xml:space="preserve">| Seed Investor | 15% |</w:t>
      </w:r>
      <w:r>
        <w:t xml:space="preserve"> </w:t>
      </w:r>
      <w:r>
        <w:t xml:space="preserve">| Series A | 25% |</w:t>
      </w:r>
    </w:p>
    <w:p>
      <w:pPr>
        <w:pStyle w:val="BodyText"/>
      </w:pPr>
      <w:r>
        <w:rPr>
          <w:b/>
          <w:bCs/>
        </w:rPr>
        <w:t xml:space="preserve">Post-Series B (Illustrative):</w:t>
      </w:r>
      <w:r>
        <w:t xml:space="preserve"> </w:t>
      </w:r>
      <w:r>
        <w:t xml:space="preserve">| Holder | % |</w:t>
      </w:r>
      <w:r>
        <w:t xml:space="preserve"> </w:t>
      </w:r>
      <w:r>
        <w:t xml:space="preserve">|—|—|</w:t>
      </w:r>
      <w:r>
        <w:t xml:space="preserve"> </w:t>
      </w:r>
      <w:r>
        <w:t xml:space="preserve">| Founder | 42% |</w:t>
      </w:r>
      <w:r>
        <w:t xml:space="preserve"> </w:t>
      </w:r>
      <w:r>
        <w:t xml:space="preserve">| Seed Investor | 10.5% |</w:t>
      </w:r>
      <w:r>
        <w:t xml:space="preserve"> </w:t>
      </w:r>
      <w:r>
        <w:t xml:space="preserve">| Series A | 17.5% |</w:t>
      </w:r>
      <w:r>
        <w:t xml:space="preserve"> </w:t>
      </w:r>
      <w:r>
        <w:t xml:space="preserve">| Series B | 30% |</w:t>
      </w:r>
    </w:p>
    <w:p>
      <w:pPr>
        <w:pStyle w:val="Heading2"/>
      </w:pPr>
      <w:bookmarkStart w:id="11" w:name="_2f241c6f1a9f00f2fec3560c43b095ef157a2d7"/>
      <w:r>
        <w:t xml:space="preserve">2. Waterfall Scenarios</w:t>
      </w:r>
    </w:p>
    <w:p>
      <w:pPr>
        <w:pStyle w:val="Heading3"/>
      </w:pPr>
      <w:bookmarkStart w:id="12" w:name="_ee84c1edfd4cd4c73dc5c8eb2980ee101351dde"/>
      <w:r>
        <w:t xml:space="preserve">Scenario A: Exit at SAR 385M (Conservative)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Holder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  <w:tc>
          <w:tcPr/>
          <w:p>
            <w:pPr>
              <w:pStyle w:val="Compact"/>
            </w:pPr>
            <w:r>
              <w:t xml:space="preserve">Proceeds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42%</w:t>
            </w:r>
          </w:p>
        </w:tc>
        <w:tc>
          <w:tcPr/>
          <w:p>
            <w:pPr>
              <w:pStyle w:val="Compact"/>
            </w:pPr>
            <w:r>
              <w:t xml:space="preserve">161.7M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Seed Investor</w:t>
            </w:r>
          </w:p>
        </w:tc>
        <w:tc>
          <w:tcPr/>
          <w:p>
            <w:pPr>
              <w:pStyle w:val="Compact"/>
            </w:pPr>
            <w:r>
              <w:t xml:space="preserve">10.5%</w:t>
            </w:r>
          </w:p>
        </w:tc>
        <w:tc>
          <w:tcPr/>
          <w:p>
            <w:pPr>
              <w:pStyle w:val="Compact"/>
            </w:pPr>
            <w:r>
              <w:t xml:space="preserve">40.4M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</w:t>
            </w:r>
          </w:p>
        </w:tc>
        <w:tc>
          <w:tcPr/>
          <w:p>
            <w:pPr>
              <w:pStyle w:val="Compact"/>
            </w:pPr>
            <w:r>
              <w:t xml:space="preserve">17.5%</w:t>
            </w:r>
          </w:p>
        </w:tc>
        <w:tc>
          <w:tcPr/>
          <w:p>
            <w:pPr>
              <w:pStyle w:val="Compact"/>
            </w:pPr>
            <w:r>
              <w:t xml:space="preserve">67.4M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B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115.5M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385M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Seed Investor Return:</w:t>
      </w:r>
      <w:r>
        <w:t xml:space="preserve"> </w:t>
      </w:r>
      <w:r>
        <w:t xml:space="preserve">40.4M / 7.5M =</w:t>
      </w:r>
      <w:r>
        <w:t xml:space="preserve"> </w:t>
      </w:r>
      <w:r>
        <w:rPr>
          <w:b/>
          <w:bCs/>
        </w:rPr>
        <w:t xml:space="preserve">5.4x</w:t>
      </w:r>
    </w:p>
    <w:p>
      <w:pPr>
        <w:pStyle w:val="Heading3"/>
      </w:pPr>
      <w:bookmarkStart w:id="13" w:name="_320b2b521be87e204e49a8457629291f3e54c4a"/>
      <w:r>
        <w:t xml:space="preserve">Scenario B: Exit at SAR 616M (Base)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Holder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  <w:tc>
          <w:tcPr/>
          <w:p>
            <w:pPr>
              <w:pStyle w:val="Compact"/>
            </w:pPr>
            <w:r>
              <w:t xml:space="preserve">Proceeds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42%</w:t>
            </w:r>
          </w:p>
        </w:tc>
        <w:tc>
          <w:tcPr/>
          <w:p>
            <w:pPr>
              <w:pStyle w:val="Compact"/>
            </w:pPr>
            <w:r>
              <w:t xml:space="preserve">258.7M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Seed Investor</w:t>
            </w:r>
          </w:p>
        </w:tc>
        <w:tc>
          <w:tcPr/>
          <w:p>
            <w:pPr>
              <w:pStyle w:val="Compact"/>
            </w:pPr>
            <w:r>
              <w:t xml:space="preserve">10.5%</w:t>
            </w:r>
          </w:p>
        </w:tc>
        <w:tc>
          <w:tcPr/>
          <w:p>
            <w:pPr>
              <w:pStyle w:val="Compact"/>
            </w:pPr>
            <w:r>
              <w:t xml:space="preserve">64.7M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</w:t>
            </w:r>
          </w:p>
        </w:tc>
        <w:tc>
          <w:tcPr/>
          <w:p>
            <w:pPr>
              <w:pStyle w:val="Compact"/>
            </w:pPr>
            <w:r>
              <w:t xml:space="preserve">17.5%</w:t>
            </w:r>
          </w:p>
        </w:tc>
        <w:tc>
          <w:tcPr/>
          <w:p>
            <w:pPr>
              <w:pStyle w:val="Compact"/>
            </w:pPr>
            <w:r>
              <w:t xml:space="preserve">107.8M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B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184.8M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616M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Seed Investor Return:</w:t>
      </w:r>
      <w:r>
        <w:t xml:space="preserve"> </w:t>
      </w:r>
      <w:r>
        <w:t xml:space="preserve">64.7M / 7.5M =</w:t>
      </w:r>
      <w:r>
        <w:t xml:space="preserve"> </w:t>
      </w:r>
      <w:r>
        <w:rPr>
          <w:b/>
          <w:bCs/>
        </w:rPr>
        <w:t xml:space="preserve">8.6x</w:t>
      </w:r>
    </w:p>
    <w:p>
      <w:pPr>
        <w:pStyle w:val="Heading3"/>
      </w:pPr>
      <w:bookmarkStart w:id="14" w:name="_d8881ca304300edec394921874fbe9744b36e38"/>
      <w:r>
        <w:t xml:space="preserve">Scenario C: Exit at SAR 924M (Aggressive)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Holder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  <w:tc>
          <w:tcPr/>
          <w:p>
            <w:pPr>
              <w:pStyle w:val="Compact"/>
            </w:pPr>
            <w:r>
              <w:t xml:space="preserve">Proceeds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42%</w:t>
            </w:r>
          </w:p>
        </w:tc>
        <w:tc>
          <w:tcPr/>
          <w:p>
            <w:pPr>
              <w:pStyle w:val="Compact"/>
            </w:pPr>
            <w:r>
              <w:t xml:space="preserve">388.1M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Seed Investor</w:t>
            </w:r>
          </w:p>
        </w:tc>
        <w:tc>
          <w:tcPr/>
          <w:p>
            <w:pPr>
              <w:pStyle w:val="Compact"/>
            </w:pPr>
            <w:r>
              <w:t xml:space="preserve">10.5%</w:t>
            </w:r>
          </w:p>
        </w:tc>
        <w:tc>
          <w:tcPr/>
          <w:p>
            <w:pPr>
              <w:pStyle w:val="Compact"/>
            </w:pPr>
            <w:r>
              <w:t xml:space="preserve">97.0M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</w:t>
            </w:r>
          </w:p>
        </w:tc>
        <w:tc>
          <w:tcPr/>
          <w:p>
            <w:pPr>
              <w:pStyle w:val="Compact"/>
            </w:pPr>
            <w:r>
              <w:t xml:space="preserve">17.5%</w:t>
            </w:r>
          </w:p>
        </w:tc>
        <w:tc>
          <w:tcPr/>
          <w:p>
            <w:pPr>
              <w:pStyle w:val="Compact"/>
            </w:pPr>
            <w:r>
              <w:t xml:space="preserve">161.7M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B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277.2M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924M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Seed Investor Return:</w:t>
      </w:r>
      <w:r>
        <w:t xml:space="preserve"> </w:t>
      </w:r>
      <w:r>
        <w:t xml:space="preserve">97.0M / 7.5M =</w:t>
      </w:r>
      <w:r>
        <w:t xml:space="preserve"> </w:t>
      </w:r>
      <w:r>
        <w:rPr>
          <w:b/>
          <w:bCs/>
        </w:rPr>
        <w:t xml:space="preserve">12.9x</w:t>
      </w:r>
    </w:p>
    <w:p>
      <w:pPr>
        <w:pStyle w:val="Heading3"/>
      </w:pPr>
      <w:bookmarkStart w:id="15" w:name="_5775d749480b6f1ef6f7da603d3d646201ef565"/>
      <w:r>
        <w:t xml:space="preserve">Scenario D: IPO at SAR 1.5B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Holder</w:t>
            </w:r>
          </w:p>
        </w:tc>
        <w:tc>
          <w:tcPr/>
          <w:p>
            <w:pPr>
              <w:pStyle w:val="Compact"/>
            </w:pPr>
            <w:r>
              <w:t xml:space="preserve">%</w:t>
            </w:r>
          </w:p>
        </w:tc>
        <w:tc>
          <w:tcPr/>
          <w:p>
            <w:pPr>
              <w:pStyle w:val="Compact"/>
            </w:pPr>
            <w:r>
              <w:t xml:space="preserve">Proceeds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35%</w:t>
            </w:r>
          </w:p>
        </w:tc>
        <w:tc>
          <w:tcPr/>
          <w:p>
            <w:pPr>
              <w:pStyle w:val="Compact"/>
            </w:pPr>
            <w:r>
              <w:t xml:space="preserve">525M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Seed Investor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120M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225M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B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  <w:tc>
          <w:tcPr/>
          <w:p>
            <w:pPr>
              <w:pStyle w:val="Compact"/>
            </w:pPr>
            <w:r>
              <w:t xml:space="preserve">375M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 Float</w:t>
            </w:r>
          </w:p>
        </w:tc>
        <w:tc>
          <w:tcPr/>
          <w:p>
            <w:pPr>
              <w:pStyle w:val="Compact"/>
            </w:pPr>
            <w:r>
              <w:t xml:space="preserve">17%</w:t>
            </w:r>
          </w:p>
        </w:tc>
        <w:tc>
          <w:tcPr/>
          <w:p>
            <w:pPr>
              <w:pStyle w:val="Compact"/>
            </w:pPr>
            <w:r>
              <w:t xml:space="preserve">255M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1,500M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Seed Investor Return:</w:t>
      </w:r>
      <w:r>
        <w:t xml:space="preserve"> </w:t>
      </w:r>
      <w:r>
        <w:t xml:space="preserve">120M / 7.5M =</w:t>
      </w:r>
      <w:r>
        <w:t xml:space="preserve"> </w:t>
      </w:r>
      <w:r>
        <w:rPr>
          <w:b/>
          <w:bCs/>
        </w:rPr>
        <w:t xml:space="preserve">16.0x</w:t>
      </w:r>
    </w:p>
    <w:p>
      <w:pPr>
        <w:pStyle w:val="Heading2"/>
      </w:pPr>
      <w:bookmarkStart w:id="16" w:name="_bde543ac55b198a6a8ea4f5a8bc92e56dc84753"/>
      <w:r>
        <w:t xml:space="preserve">3. IRR Analysis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Exit</w:t>
            </w:r>
          </w:p>
        </w:tc>
        <w:tc>
          <w:tcPr/>
          <w:p>
            <w:pPr>
              <w:pStyle w:val="Compact"/>
            </w:pPr>
            <w:r>
              <w:t xml:space="preserve">Years</w:t>
            </w:r>
          </w:p>
        </w:tc>
        <w:tc>
          <w:tcPr/>
          <w:p>
            <w:pPr>
              <w:pStyle w:val="Compact"/>
            </w:pPr>
            <w:r>
              <w:t xml:space="preserve">Multiple</w:t>
            </w:r>
          </w:p>
        </w:tc>
        <w:tc>
          <w:tcPr/>
          <w:p>
            <w:pPr>
              <w:pStyle w:val="Compact"/>
            </w:pPr>
            <w:r>
              <w:t xml:space="preserve">IRR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Conservative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5.4x</w:t>
            </w:r>
          </w:p>
        </w:tc>
        <w:tc>
          <w:tcPr/>
          <w:p>
            <w:pPr>
              <w:pStyle w:val="Compact"/>
            </w:pPr>
            <w:r>
              <w:t xml:space="preserve">42%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8.6x</w:t>
            </w:r>
          </w:p>
        </w:tc>
        <w:tc>
          <w:tcPr/>
          <w:p>
            <w:pPr>
              <w:pStyle w:val="Compact"/>
            </w:pPr>
            <w:r>
              <w:t xml:space="preserve">54%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Aggressive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12.9x</w:t>
            </w:r>
          </w:p>
        </w:tc>
        <w:tc>
          <w:tcPr/>
          <w:p>
            <w:pPr>
              <w:pStyle w:val="Compact"/>
            </w:pPr>
            <w:r>
              <w:t xml:space="preserve">67%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16.0x</w:t>
            </w:r>
          </w:p>
        </w:tc>
        <w:tc>
          <w:tcPr/>
          <w:p>
            <w:pPr>
              <w:pStyle w:val="Compact"/>
            </w:pPr>
            <w:r>
              <w:t xml:space="preserve">41%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Target Investor IRR:</w:t>
      </w:r>
      <w:r>
        <w:t xml:space="preserve"> </w:t>
      </w:r>
      <w:r>
        <w:t xml:space="preserve">30-50% (VC benchmark)</w:t>
      </w:r>
    </w:p>
    <w:p>
      <w:pPr>
        <w:pStyle w:val="Heading2"/>
      </w:pPr>
      <w:bookmarkStart w:id="17" w:name="_541b772f92ebf7f547f55eeb5194a8a329a196a"/>
      <w:r>
        <w:t xml:space="preserve">4. Return Comparison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Asset Class</w:t>
            </w:r>
          </w:p>
        </w:tc>
        <w:tc>
          <w:tcPr/>
          <w:p>
            <w:pPr>
              <w:pStyle w:val="Compact"/>
            </w:pPr>
            <w:r>
              <w:t xml:space="preserve">Expected Return</w:t>
            </w:r>
          </w:p>
        </w:tc>
        <w:tc>
          <w:tcPr/>
          <w:p>
            <w:pPr>
              <w:pStyle w:val="Compact"/>
            </w:pPr>
            <w:r>
              <w:t xml:space="preserve">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 Equity</w:t>
            </w:r>
          </w:p>
        </w:tc>
        <w:tc>
          <w:tcPr/>
          <w:p>
            <w:pPr>
              <w:pStyle w:val="Compact"/>
            </w:pPr>
            <w:r>
              <w:t xml:space="preserve">8-10%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Corporate Bonds</w:t>
            </w:r>
          </w:p>
        </w:tc>
        <w:tc>
          <w:tcPr/>
          <w:p>
            <w:pPr>
              <w:pStyle w:val="Compact"/>
            </w:pPr>
            <w:r>
              <w:t xml:space="preserve">4-6%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Real Estate</w:t>
            </w:r>
          </w:p>
        </w:tc>
        <w:tc>
          <w:tcPr/>
          <w:p>
            <w:pPr>
              <w:pStyle w:val="Compact"/>
            </w:pPr>
            <w:r>
              <w:t xml:space="preserve">6-8%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VC (Top Quartile)</w:t>
            </w:r>
          </w:p>
        </w:tc>
        <w:tc>
          <w:tcPr/>
          <w:p>
            <w:pPr>
              <w:pStyle w:val="Compact"/>
            </w:pPr>
            <w:r>
              <w:t xml:space="preserve">20-30%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HISN Seed (Base)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40-60%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High</w:t>
            </w:r>
          </w:p>
        </w:tc>
      </w:tr>
    </w:tbl>
    <w:p>
      <w:pPr>
        <w:pStyle w:val="Heading2"/>
      </w:pPr>
      <w:bookmarkStart w:id="18" w:name="_9a51345dc80a24a8b4dbadd1111aca72e71a2ac"/>
      <w:r>
        <w:t xml:space="preserve">5. Downside Protection</w:t>
      </w:r>
    </w:p>
    <w:p>
      <w:pPr>
        <w:pStyle w:val="FirstParagraph"/>
      </w:pPr>
      <w:r>
        <w:rPr>
          <w:b/>
          <w:bCs/>
        </w:rPr>
        <w:t xml:space="preserve">Investor protections at Seed:</w:t>
      </w:r>
      <w:r>
        <w:t xml:space="preserve"> </w:t>
      </w:r>
      <w:r>
        <w:t xml:space="preserve">1. 1x liquidation preference (SAR 7.5M)</w:t>
      </w:r>
      <w:r>
        <w:t xml:space="preserve"> </w:t>
      </w:r>
      <w:r>
        <w:t xml:space="preserve">2. Pro-rata rights in future rounds</w:t>
      </w:r>
      <w:r>
        <w:t xml:space="preserve"> </w:t>
      </w:r>
      <w:r>
        <w:t xml:space="preserve">3. Anti-dilution protection</w:t>
      </w:r>
      <w:r>
        <w:t xml:space="preserve"> </w:t>
      </w:r>
      <w:r>
        <w:t xml:space="preserve">4. Board representation</w:t>
      </w:r>
      <w:r>
        <w:t xml:space="preserve"> </w:t>
      </w:r>
      <w:r>
        <w:t xml:space="preserve">5. Protective provisions</w:t>
      </w:r>
    </w:p>
    <w:p>
      <w:pPr>
        <w:pStyle w:val="BodyText"/>
      </w:pPr>
      <w:r>
        <w:rPr>
          <w:b/>
          <w:bCs/>
        </w:rPr>
        <w:t xml:space="preserve">Worst-Case Scenario:</w:t>
      </w:r>
      <w:r>
        <w:t xml:space="preserve"> </w:t>
      </w:r>
      <w:r>
        <w:t xml:space="preserve">- Company fails → Investor recovers 0-7.5M (liquidation preference)</w:t>
      </w:r>
      <w:r>
        <w:t xml:space="preserve"> </w:t>
      </w:r>
      <w:r>
        <w:t xml:space="preserve">- Company acquired low → Investor recovers 1-3x</w:t>
      </w:r>
    </w:p>
    <w:p>
      <w:pPr>
        <w:pStyle w:val="Heading2"/>
      </w:pPr>
      <w:bookmarkStart w:id="19" w:name="_042c959a1edbfb15a27d2d7a19b2a82784fa44e"/>
      <w:r>
        <w:t xml:space="preserve">6. Sensitivity Analysis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Exit Value (SAR M)</w:t>
            </w:r>
          </w:p>
        </w:tc>
        <w:tc>
          <w:tcPr/>
          <w:p>
            <w:pPr>
              <w:pStyle w:val="Compact"/>
            </w:pPr>
            <w:r>
              <w:t xml:space="preserve">Seed Investor Return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0.7x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1.4x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2.8x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385</w:t>
            </w:r>
          </w:p>
        </w:tc>
        <w:tc>
          <w:tcPr/>
          <w:p>
            <w:pPr>
              <w:pStyle w:val="Compact"/>
            </w:pPr>
            <w:r>
              <w:t xml:space="preserve">5.4x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616</w:t>
            </w:r>
          </w:p>
        </w:tc>
        <w:tc>
          <w:tcPr/>
          <w:p>
            <w:pPr>
              <w:pStyle w:val="Compact"/>
            </w:pPr>
            <w:r>
              <w:t xml:space="preserve">8.6x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924</w:t>
            </w:r>
          </w:p>
        </w:tc>
        <w:tc>
          <w:tcPr/>
          <w:p>
            <w:pPr>
              <w:pStyle w:val="Compact"/>
            </w:pPr>
            <w:r>
              <w:t xml:space="preserve">12.9x</w:t>
            </w:r>
          </w:p>
        </w:tc>
      </w:tr>
      <w:tr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16.0x</w:t>
            </w:r>
          </w:p>
        </w:tc>
      </w:tr>
    </w:tbl>
    <w:p>
      <w:pPr>
        <w:pStyle w:val="Heading2"/>
      </w:pPr>
      <w:bookmarkStart w:id="20" w:name="_breakeven"/>
      <w:r>
        <w:t xml:space="preserve">7. Breakeven</w:t>
      </w:r>
    </w:p>
    <w:p>
      <w:pPr>
        <w:pStyle w:val="FirstParagraph"/>
      </w:pPr>
      <w:r>
        <w:rPr>
          <w:b/>
          <w:bCs/>
        </w:rPr>
        <w:t xml:space="preserve">Investor breakeven (1x return):</w:t>
      </w:r>
      <w:r>
        <w:t xml:space="preserve"> </w:t>
      </w:r>
      <w:r>
        <w:t xml:space="preserve">Exit at ~SAR 71M</w:t>
      </w:r>
      <w:r>
        <w:t xml:space="preserve"> </w:t>
      </w:r>
      <w:r>
        <w:rPr>
          <w:b/>
          <w:bCs/>
        </w:rPr>
        <w:t xml:space="preserve">Target return (10x):</w:t>
      </w:r>
      <w:r>
        <w:t xml:space="preserve"> </w:t>
      </w:r>
      <w:r>
        <w:t xml:space="preserve">Exit at ~SAR 715M</w:t>
      </w:r>
      <w:r>
        <w:t xml:space="preserve"> </w:t>
      </w:r>
      <w:r>
        <w:rPr>
          <w:b/>
          <w:bCs/>
        </w:rPr>
        <w:t xml:space="preserve">Stretch return (15x):</w:t>
      </w:r>
      <w:r>
        <w:t xml:space="preserve"> </w:t>
      </w:r>
      <w:r>
        <w:t xml:space="preserve">Exit at ~SAR 1,070M</w:t>
      </w:r>
    </w:p>
    <w:p>
      <w:pPr>
        <w:pStyle w:val="Heading2"/>
      </w:pPr>
      <w:bookmarkStart w:id="21" w:name="_b3187495379e7d9e87c1ca4adeb1b1f3d232a0c"/>
      <w:r>
        <w:t xml:space="preserve">8. Key Assumptions</w:t>
      </w:r>
    </w:p>
    <w:p>
      <w:pPr>
        <w:pStyle w:val="Compact"/>
        <w:numPr>
          <w:ilvl w:val="0"/>
          <w:numId w:val="1001"/>
        </w:numPr>
      </w:pPr>
      <w:r>
        <w:t xml:space="preserve">Founder retains 42% post-Series B</w:t>
      </w:r>
    </w:p>
    <w:p>
      <w:pPr>
        <w:pStyle w:val="Compact"/>
        <w:numPr>
          <w:ilvl w:val="0"/>
          <w:numId w:val="1001"/>
        </w:numPr>
      </w:pPr>
      <w:r>
        <w:t xml:space="preserve">Seed investor diluted to 10.5% post-Series B</w:t>
      </w:r>
    </w:p>
    <w:p>
      <w:pPr>
        <w:pStyle w:val="Compact"/>
        <w:numPr>
          <w:ilvl w:val="0"/>
          <w:numId w:val="1001"/>
        </w:numPr>
      </w:pPr>
      <w:r>
        <w:t xml:space="preserve">No ESOP expansion beyond planned</w:t>
      </w:r>
    </w:p>
    <w:p>
      <w:pPr>
        <w:pStyle w:val="Compact"/>
        <w:numPr>
          <w:ilvl w:val="0"/>
          <w:numId w:val="1001"/>
        </w:numPr>
      </w:pPr>
      <w:r>
        <w:t xml:space="preserve">No down-round in future rounds</w:t>
      </w:r>
    </w:p>
    <w:p>
      <w:pPr>
        <w:pStyle w:val="Compact"/>
        <w:numPr>
          <w:ilvl w:val="0"/>
          <w:numId w:val="1001"/>
        </w:numPr>
      </w:pPr>
      <w:r>
        <w:t xml:space="preserve">Exit timing 5-8 years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Waterfall analysis for illustrative purposes. Actual returns depend on multiple factors.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Return Waterfall</dc:title>
  <dc:creator>HISN Platform</dc:creator>
  <cp:keywords>HISN, FCDOS, financial crime, decision operating system</cp:keywords>
  <dcterms:created xsi:type="dcterms:W3CDTF">2026-10-14T09:35:05Z</dcterms:created>
  <dcterms:modified xsi:type="dcterms:W3CDTF">2026-10-14T09:35:05Z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