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05_Definitive_Agreements_Roadmap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fe8853a777221e61b493daf59e9152cc077ec38"/>
      <w:r>
        <w:t xml:space="preserve">DEFINITIVE AGREEMENTS ROADMAP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ca4e54477243cc0ea1343caad08e1b1f6dbd64a"/>
      <w:r>
        <w:t xml:space="preserve">1. Document Set</w:t>
      </w:r>
    </w:p>
    <w:p>
      <w:pPr>
        <w:pStyle w:val="FirstParagraph"/>
      </w:pPr>
      <w:r>
        <w:t xml:space="preserve">The following definitive agreements will be prepared after Term Sheet execution: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Restated Articles of Association</w:t>
            </w:r>
          </w:p>
        </w:tc>
        <w:tc>
          <w:tcPr/>
          <w:p>
            <w:pPr>
              <w:pStyle w:val="Compact"/>
            </w:pPr>
            <w:r>
              <w:t xml:space="preserve">Company constitution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Share Purchase Agreement (SPA)</w:t>
            </w:r>
          </w:p>
        </w:tc>
        <w:tc>
          <w:tcPr/>
          <w:p>
            <w:pPr>
              <w:pStyle w:val="Compact"/>
            </w:pPr>
            <w:r>
              <w:t xml:space="preserve">Purchase of shares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Shareholders’ Agreement (SHA)</w:t>
            </w:r>
          </w:p>
        </w:tc>
        <w:tc>
          <w:tcPr/>
          <w:p>
            <w:pPr>
              <w:pStyle w:val="Compact"/>
            </w:pPr>
            <w:r>
              <w:t xml:space="preserve">Governance + rights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Investor Rights Agreement (IRA)</w:t>
            </w:r>
          </w:p>
        </w:tc>
        <w:tc>
          <w:tcPr/>
          <w:p>
            <w:pPr>
              <w:pStyle w:val="Compact"/>
            </w:pPr>
            <w:r>
              <w:t xml:space="preserve">Information + pro-rata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Founder Vesting Agreement</w:t>
            </w:r>
          </w:p>
        </w:tc>
        <w:tc>
          <w:tcPr/>
          <w:p>
            <w:pPr>
              <w:pStyle w:val="Compact"/>
            </w:pPr>
            <w:r>
              <w:t xml:space="preserve">Vesting terms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IP Assignment Agreement</w:t>
            </w:r>
          </w:p>
        </w:tc>
        <w:tc>
          <w:tcPr/>
          <w:p>
            <w:pPr>
              <w:pStyle w:val="Compact"/>
            </w:pPr>
            <w:r>
              <w:t xml:space="preserve">IP transfer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Employment Agreements</w:t>
            </w:r>
          </w:p>
        </w:tc>
        <w:tc>
          <w:tcPr/>
          <w:p>
            <w:pPr>
              <w:pStyle w:val="Compact"/>
            </w:pPr>
            <w:r>
              <w:t xml:space="preserve">Founder + key hires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Non-Compete / Non-Solicit</w:t>
            </w:r>
          </w:p>
        </w:tc>
        <w:tc>
          <w:tcPr/>
          <w:p>
            <w:pPr>
              <w:pStyle w:val="Compact"/>
            </w:pPr>
            <w:r>
              <w:t xml:space="preserve">Restrictions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Disclosure Schedule</w:t>
            </w:r>
          </w:p>
        </w:tc>
        <w:tc>
          <w:tcPr/>
          <w:p>
            <w:pPr>
              <w:pStyle w:val="Compact"/>
            </w:pPr>
            <w:r>
              <w:t xml:space="preserve">Reps &amp; warranties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Board Resolutions</w:t>
            </w:r>
          </w:p>
        </w:tc>
        <w:tc>
          <w:tcPr/>
          <w:p>
            <w:pPr>
              <w:pStyle w:val="Compact"/>
            </w:pPr>
            <w:r>
              <w:t xml:space="preserve">Approvals</w:t>
            </w:r>
          </w:p>
        </w:tc>
        <w:tc>
          <w:tcPr/>
          <w:p>
            <w:pPr>
              <w:pStyle w:val="Compact"/>
            </w:pPr>
            <w:r>
              <w:t xml:space="preserve">Company Secretary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Shareholder Resolutions</w:t>
            </w:r>
          </w:p>
        </w:tc>
        <w:tc>
          <w:tcPr/>
          <w:p>
            <w:pPr>
              <w:pStyle w:val="Compact"/>
            </w:pPr>
            <w:r>
              <w:t xml:space="preserve">Approvals</w:t>
            </w:r>
          </w:p>
        </w:tc>
        <w:tc>
          <w:tcPr/>
          <w:p>
            <w:pPr>
              <w:pStyle w:val="Compact"/>
            </w:pPr>
            <w:r>
              <w:t xml:space="preserve">Company Secretary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Officer’s Certificate</w:t>
            </w:r>
          </w:p>
        </w:tc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Legal Opinion</w:t>
            </w:r>
          </w:p>
        </w:tc>
        <w:tc>
          <w:tcPr/>
          <w:p>
            <w:pPr>
              <w:pStyle w:val="Compact"/>
            </w:pPr>
            <w:r>
              <w:t xml:space="preserve">Legal validity</w:t>
            </w:r>
          </w:p>
        </w:tc>
        <w:tc>
          <w:tcPr/>
          <w:p>
            <w:pPr>
              <w:pStyle w:val="Compact"/>
            </w:pPr>
            <w:r>
              <w:t xml:space="preserve">Legal Counsel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Escrow Agreement (if any)</w:t>
            </w:r>
          </w:p>
        </w:tc>
        <w:tc>
          <w:tcPr/>
          <w:p>
            <w:pPr>
              <w:pStyle w:val="Compact"/>
            </w:pPr>
            <w:r>
              <w:t xml:space="preserve">Fund holding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</w:tr>
    </w:tbl>
    <w:p>
      <w:pPr>
        <w:pStyle w:val="Heading2"/>
      </w:pPr>
      <w:bookmarkStart w:id="11" w:name="_timeline"/>
      <w:r>
        <w:t xml:space="preserve">2.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Week</w:t>
            </w:r>
          </w:p>
        </w:tc>
        <w:tc>
          <w:tcPr/>
          <w:p>
            <w:pPr>
              <w:pStyle w:val="Compact"/>
            </w:pPr>
            <w:r>
              <w:t xml:space="preserve">Milestone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Term sheet signed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2-4</w:t>
            </w:r>
          </w:p>
        </w:tc>
        <w:tc>
          <w:tcPr/>
          <w:p>
            <w:pPr>
              <w:pStyle w:val="Compact"/>
            </w:pPr>
            <w:r>
              <w:t xml:space="preserve">Due diligence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5-6</w:t>
            </w:r>
          </w:p>
        </w:tc>
        <w:tc>
          <w:tcPr/>
          <w:p>
            <w:pPr>
              <w:pStyle w:val="Compact"/>
            </w:pPr>
            <w:r>
              <w:t xml:space="preserve">Draft definitive agreements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7-8</w:t>
            </w:r>
          </w:p>
        </w:tc>
        <w:tc>
          <w:tcPr/>
          <w:p>
            <w:pPr>
              <w:pStyle w:val="Compact"/>
            </w:pPr>
            <w:r>
              <w:t xml:space="preserve">Negotiation + revisions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Final versions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Board + shareholder approvals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Signing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Closing (payment + share issuance)</w:t>
            </w:r>
          </w:p>
        </w:tc>
      </w:tr>
    </w:tbl>
    <w:p>
      <w:pPr>
        <w:pStyle w:val="Heading2"/>
      </w:pPr>
      <w:bookmarkStart w:id="12" w:name="_b4240e498fb0b669366bc225da4afe77f7eed01"/>
      <w:r>
        <w:t xml:space="preserve">3. Due Diligence Checklist</w:t>
      </w:r>
    </w:p>
    <w:p>
      <w:pPr>
        <w:pStyle w:val="Heading3"/>
      </w:pPr>
      <w:bookmarkStart w:id="13" w:name="_corporate"/>
      <w:r>
        <w:t xml:space="preserve">Corporate</w:t>
      </w:r>
    </w:p>
    <w:p>
      <w:pPr>
        <w:pStyle w:val="Compact"/>
        <w:numPr>
          <w:ilvl w:val="0"/>
          <w:numId w:val="1001"/>
        </w:numPr>
      </w:pPr>
      <w:r>
        <w:t xml:space="preserve">Articles of Association</w:t>
      </w:r>
    </w:p>
    <w:p>
      <w:pPr>
        <w:pStyle w:val="Compact"/>
        <w:numPr>
          <w:ilvl w:val="0"/>
          <w:numId w:val="1002"/>
        </w:numPr>
      </w:pPr>
      <w:r>
        <w:t xml:space="preserve">Commercial Registration</w:t>
      </w:r>
    </w:p>
    <w:p>
      <w:pPr>
        <w:pStyle w:val="Compact"/>
        <w:numPr>
          <w:ilvl w:val="0"/>
          <w:numId w:val="1003"/>
        </w:numPr>
      </w:pPr>
      <w:r>
        <w:t xml:space="preserve">MISA license (if foreign)</w:t>
      </w:r>
    </w:p>
    <w:p>
      <w:pPr>
        <w:pStyle w:val="Compact"/>
        <w:numPr>
          <w:ilvl w:val="0"/>
          <w:numId w:val="1004"/>
        </w:numPr>
      </w:pPr>
      <w:r>
        <w:t xml:space="preserve">Board minutes</w:t>
      </w:r>
    </w:p>
    <w:p>
      <w:pPr>
        <w:pStyle w:val="Compact"/>
        <w:numPr>
          <w:ilvl w:val="0"/>
          <w:numId w:val="1005"/>
        </w:numPr>
      </w:pPr>
      <w:r>
        <w:t xml:space="preserve">Shareholder register</w:t>
      </w:r>
    </w:p>
    <w:p>
      <w:pPr>
        <w:pStyle w:val="Compact"/>
        <w:numPr>
          <w:ilvl w:val="0"/>
          <w:numId w:val="1006"/>
        </w:numPr>
      </w:pPr>
      <w:r>
        <w:t xml:space="preserve">Cap table (fully diluted)</w:t>
      </w:r>
    </w:p>
    <w:p>
      <w:pPr>
        <w:pStyle w:val="Heading3"/>
      </w:pPr>
      <w:bookmarkStart w:id="14" w:name="_legal"/>
      <w:r>
        <w:t xml:space="preserve">Legal</w:t>
      </w:r>
    </w:p>
    <w:p>
      <w:pPr>
        <w:pStyle w:val="Compact"/>
        <w:numPr>
          <w:ilvl w:val="0"/>
          <w:numId w:val="1007"/>
        </w:numPr>
      </w:pPr>
      <w:r>
        <w:t xml:space="preserve">Founder agreements</w:t>
      </w:r>
    </w:p>
    <w:p>
      <w:pPr>
        <w:pStyle w:val="Compact"/>
        <w:numPr>
          <w:ilvl w:val="0"/>
          <w:numId w:val="1008"/>
        </w:numPr>
      </w:pPr>
      <w:r>
        <w:t xml:space="preserve">Employment contracts</w:t>
      </w:r>
    </w:p>
    <w:p>
      <w:pPr>
        <w:pStyle w:val="Compact"/>
        <w:numPr>
          <w:ilvl w:val="0"/>
          <w:numId w:val="1009"/>
        </w:numPr>
      </w:pPr>
      <w:r>
        <w:t xml:space="preserve">IP assignments</w:t>
      </w:r>
    </w:p>
    <w:p>
      <w:pPr>
        <w:pStyle w:val="Compact"/>
        <w:numPr>
          <w:ilvl w:val="0"/>
          <w:numId w:val="1010"/>
        </w:numPr>
      </w:pPr>
      <w:r>
        <w:t xml:space="preserve">Vendor contracts</w:t>
      </w:r>
    </w:p>
    <w:p>
      <w:pPr>
        <w:pStyle w:val="Compact"/>
        <w:numPr>
          <w:ilvl w:val="0"/>
          <w:numId w:val="1011"/>
        </w:numPr>
      </w:pPr>
      <w:r>
        <w:t xml:space="preserve">Customer contracts</w:t>
      </w:r>
    </w:p>
    <w:p>
      <w:pPr>
        <w:pStyle w:val="Compact"/>
        <w:numPr>
          <w:ilvl w:val="0"/>
          <w:numId w:val="1012"/>
        </w:numPr>
      </w:pPr>
      <w:r>
        <w:t xml:space="preserve">Litigation search</w:t>
      </w:r>
    </w:p>
    <w:p>
      <w:pPr>
        <w:pStyle w:val="Heading3"/>
      </w:pPr>
      <w:bookmarkStart w:id="15" w:name="_financial"/>
      <w:r>
        <w:t xml:space="preserve">Financial</w:t>
      </w:r>
    </w:p>
    <w:p>
      <w:pPr>
        <w:pStyle w:val="Compact"/>
        <w:numPr>
          <w:ilvl w:val="0"/>
          <w:numId w:val="1013"/>
        </w:numPr>
      </w:pPr>
      <w:r>
        <w:t xml:space="preserve">Historical financials</w:t>
      </w:r>
    </w:p>
    <w:p>
      <w:pPr>
        <w:pStyle w:val="Compact"/>
        <w:numPr>
          <w:ilvl w:val="0"/>
          <w:numId w:val="1014"/>
        </w:numPr>
      </w:pPr>
      <w:r>
        <w:t xml:space="preserve">Bank statements</w:t>
      </w:r>
    </w:p>
    <w:p>
      <w:pPr>
        <w:pStyle w:val="Compact"/>
        <w:numPr>
          <w:ilvl w:val="0"/>
          <w:numId w:val="1015"/>
        </w:numPr>
      </w:pPr>
      <w:r>
        <w:t xml:space="preserve">Tax filings</w:t>
      </w:r>
    </w:p>
    <w:p>
      <w:pPr>
        <w:pStyle w:val="Compact"/>
        <w:numPr>
          <w:ilvl w:val="0"/>
          <w:numId w:val="1016"/>
        </w:numPr>
      </w:pPr>
      <w:r>
        <w:t xml:space="preserve">Debt schedule</w:t>
      </w:r>
    </w:p>
    <w:p>
      <w:pPr>
        <w:pStyle w:val="Compact"/>
        <w:numPr>
          <w:ilvl w:val="0"/>
          <w:numId w:val="1017"/>
        </w:numPr>
      </w:pPr>
      <w:r>
        <w:t xml:space="preserve">AR/AP aging</w:t>
      </w:r>
    </w:p>
    <w:p>
      <w:pPr>
        <w:pStyle w:val="Heading3"/>
      </w:pPr>
      <w:bookmarkStart w:id="16" w:name="_technical"/>
      <w:r>
        <w:t xml:space="preserve">Technical</w:t>
      </w:r>
    </w:p>
    <w:p>
      <w:pPr>
        <w:pStyle w:val="Compact"/>
        <w:numPr>
          <w:ilvl w:val="0"/>
          <w:numId w:val="1018"/>
        </w:numPr>
      </w:pPr>
      <w:r>
        <w:t xml:space="preserve">Architecture docs</w:t>
      </w:r>
    </w:p>
    <w:p>
      <w:pPr>
        <w:pStyle w:val="Compact"/>
        <w:numPr>
          <w:ilvl w:val="0"/>
          <w:numId w:val="1019"/>
        </w:numPr>
      </w:pPr>
      <w:r>
        <w:t xml:space="preserve">Source code ownership</w:t>
      </w:r>
    </w:p>
    <w:p>
      <w:pPr>
        <w:pStyle w:val="Compact"/>
        <w:numPr>
          <w:ilvl w:val="0"/>
          <w:numId w:val="1020"/>
        </w:numPr>
      </w:pPr>
      <w:r>
        <w:t xml:space="preserve">Open source scan</w:t>
      </w:r>
    </w:p>
    <w:p>
      <w:pPr>
        <w:pStyle w:val="Compact"/>
        <w:numPr>
          <w:ilvl w:val="0"/>
          <w:numId w:val="1021"/>
        </w:numPr>
      </w:pPr>
      <w:r>
        <w:t xml:space="preserve">Security assessment</w:t>
      </w:r>
    </w:p>
    <w:p>
      <w:pPr>
        <w:pStyle w:val="Heading3"/>
      </w:pPr>
      <w:bookmarkStart w:id="17" w:name="_compliance"/>
      <w:r>
        <w:t xml:space="preserve">Compliance</w:t>
      </w:r>
    </w:p>
    <w:p>
      <w:pPr>
        <w:pStyle w:val="Compact"/>
        <w:numPr>
          <w:ilvl w:val="0"/>
          <w:numId w:val="1022"/>
        </w:numPr>
      </w:pPr>
      <w:r>
        <w:t xml:space="preserve">PDPL compliance</w:t>
      </w:r>
    </w:p>
    <w:p>
      <w:pPr>
        <w:pStyle w:val="Compact"/>
        <w:numPr>
          <w:ilvl w:val="0"/>
          <w:numId w:val="1023"/>
        </w:numPr>
      </w:pPr>
      <w:r>
        <w:t xml:space="preserve">Data classification</w:t>
      </w:r>
    </w:p>
    <w:p>
      <w:pPr>
        <w:pStyle w:val="Compact"/>
        <w:numPr>
          <w:ilvl w:val="0"/>
          <w:numId w:val="1024"/>
        </w:numPr>
      </w:pPr>
      <w:r>
        <w:t xml:space="preserve">Regulatory mapping</w:t>
      </w:r>
    </w:p>
    <w:p>
      <w:pPr>
        <w:pStyle w:val="Compact"/>
        <w:numPr>
          <w:ilvl w:val="0"/>
          <w:numId w:val="1025"/>
        </w:numPr>
      </w:pPr>
      <w:r>
        <w:t xml:space="preserve">Insurance policies</w:t>
      </w:r>
    </w:p>
    <w:p>
      <w:pPr>
        <w:pStyle w:val="Heading2"/>
      </w:pPr>
      <w:bookmarkStart w:id="18" w:name="_9b827846e90aa4ffabe6c032224acd22a9a539a"/>
      <w:r>
        <w:t xml:space="preserve">4. Closing Deliverables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Deliverable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Executed SPA</w:t>
            </w:r>
          </w:p>
        </w:tc>
        <w:tc>
          <w:tcPr/>
          <w:p>
            <w:pPr>
              <w:pStyle w:val="Compact"/>
            </w:pPr>
            <w:r>
              <w:t xml:space="preserve">Both</w:t>
            </w:r>
          </w:p>
        </w:tc>
        <w:tc>
          <w:tcPr/>
          <w:p>
            <w:pPr>
              <w:pStyle w:val="Compact"/>
            </w:pPr>
            <w:r>
              <w:t xml:space="preserve">Closing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Executed SHA</w:t>
            </w:r>
          </w:p>
        </w:tc>
        <w:tc>
          <w:tcPr/>
          <w:p>
            <w:pPr>
              <w:pStyle w:val="Compact"/>
            </w:pPr>
            <w:r>
              <w:t xml:space="preserve">All parties</w:t>
            </w:r>
          </w:p>
        </w:tc>
        <w:tc>
          <w:tcPr/>
          <w:p>
            <w:pPr>
              <w:pStyle w:val="Compact"/>
            </w:pPr>
            <w:r>
              <w:t xml:space="preserve">Closing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Restated Articles</w:t>
            </w:r>
          </w:p>
        </w:tc>
        <w:tc>
          <w:tcPr/>
          <w:p>
            <w:pPr>
              <w:pStyle w:val="Compact"/>
            </w:pPr>
            <w:r>
              <w:t xml:space="preserve">Company</w:t>
            </w:r>
          </w:p>
        </w:tc>
        <w:tc>
          <w:tcPr/>
          <w:p>
            <w:pPr>
              <w:pStyle w:val="Compact"/>
            </w:pPr>
            <w:r>
              <w:t xml:space="preserve">Pre-closing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Resolutions</w:t>
            </w:r>
          </w:p>
        </w:tc>
        <w:tc>
          <w:tcPr/>
          <w:p>
            <w:pPr>
              <w:pStyle w:val="Compact"/>
            </w:pPr>
            <w:r>
              <w:t xml:space="preserve">Company</w:t>
            </w:r>
          </w:p>
        </w:tc>
        <w:tc>
          <w:tcPr/>
          <w:p>
            <w:pPr>
              <w:pStyle w:val="Compact"/>
            </w:pPr>
            <w:r>
              <w:t xml:space="preserve">Pre-closing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Shareholder Resolutions</w:t>
            </w:r>
          </w:p>
        </w:tc>
        <w:tc>
          <w:tcPr/>
          <w:p>
            <w:pPr>
              <w:pStyle w:val="Compact"/>
            </w:pPr>
            <w:r>
              <w:t xml:space="preserve">Company</w:t>
            </w:r>
          </w:p>
        </w:tc>
        <w:tc>
          <w:tcPr/>
          <w:p>
            <w:pPr>
              <w:pStyle w:val="Compact"/>
            </w:pPr>
            <w:r>
              <w:t xml:space="preserve">Pre-closing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Capital Injection</w:t>
            </w:r>
          </w:p>
        </w:tc>
        <w:tc>
          <w:tcPr/>
          <w:p>
            <w:pPr>
              <w:pStyle w:val="Compact"/>
            </w:pPr>
            <w:r>
              <w:t xml:space="preserve">Investor</w:t>
            </w:r>
          </w:p>
        </w:tc>
        <w:tc>
          <w:tcPr/>
          <w:p>
            <w:pPr>
              <w:pStyle w:val="Compact"/>
            </w:pPr>
            <w:r>
              <w:t xml:space="preserve">Closing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 Certificate</w:t>
            </w:r>
          </w:p>
        </w:tc>
        <w:tc>
          <w:tcPr/>
          <w:p>
            <w:pPr>
              <w:pStyle w:val="Compact"/>
            </w:pPr>
            <w:r>
              <w:t xml:space="preserve">Company</w:t>
            </w:r>
          </w:p>
        </w:tc>
        <w:tc>
          <w:tcPr/>
          <w:p>
            <w:pPr>
              <w:pStyle w:val="Compact"/>
            </w:pPr>
            <w:r>
              <w:t xml:space="preserve">Closing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Updated Cap Table</w:t>
            </w:r>
          </w:p>
        </w:tc>
        <w:tc>
          <w:tcPr/>
          <w:p>
            <w:pPr>
              <w:pStyle w:val="Compact"/>
            </w:pPr>
            <w:r>
              <w:t xml:space="preserve">Company</w:t>
            </w:r>
          </w:p>
        </w:tc>
        <w:tc>
          <w:tcPr/>
          <w:p>
            <w:pPr>
              <w:pStyle w:val="Compact"/>
            </w:pPr>
            <w:r>
              <w:t xml:space="preserve">Closing</w:t>
            </w:r>
          </w:p>
        </w:tc>
      </w:tr>
    </w:tbl>
    <w:p>
      <w:pPr>
        <w:pStyle w:val="Heading2"/>
      </w:pPr>
      <w:bookmarkStart w:id="19" w:name="_6f67b72f3a218d059ee9f3d589205af9b83ab3f"/>
      <w:r>
        <w:t xml:space="preserve">5. Post-Closing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Timing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Update corporate records</w:t>
            </w:r>
          </w:p>
        </w:tc>
        <w:tc>
          <w:tcPr/>
          <w:p>
            <w:pPr>
              <w:pStyle w:val="Compact"/>
            </w:pPr>
            <w:r>
              <w:t xml:space="preserve">Within 30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File with MISA (if needed)</w:t>
            </w:r>
          </w:p>
        </w:tc>
        <w:tc>
          <w:tcPr/>
          <w:p>
            <w:pPr>
              <w:pStyle w:val="Compact"/>
            </w:pPr>
            <w:r>
              <w:t xml:space="preserve">Within 30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Notify ZATCA</w:t>
            </w:r>
          </w:p>
        </w:tc>
        <w:tc>
          <w:tcPr/>
          <w:p>
            <w:pPr>
              <w:pStyle w:val="Compact"/>
            </w:pPr>
            <w:r>
              <w:t xml:space="preserve">Within 30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Update bank records</w:t>
            </w:r>
          </w:p>
        </w:tc>
        <w:tc>
          <w:tcPr/>
          <w:p>
            <w:pPr>
              <w:pStyle w:val="Compact"/>
            </w:pPr>
            <w:r>
              <w:t xml:space="preserve">Within 30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Issue share certificates</w:t>
            </w:r>
          </w:p>
        </w:tc>
        <w:tc>
          <w:tcPr/>
          <w:p>
            <w:pPr>
              <w:pStyle w:val="Compact"/>
            </w:pPr>
            <w:r>
              <w:t xml:space="preserve">Within 30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meeting (first)</w:t>
            </w:r>
          </w:p>
        </w:tc>
        <w:tc>
          <w:tcPr/>
          <w:p>
            <w:pPr>
              <w:pStyle w:val="Compact"/>
            </w:pPr>
            <w:r>
              <w:t xml:space="preserve">Within 60 days</w:t>
            </w:r>
          </w:p>
        </w:tc>
      </w:tr>
    </w:tbl>
    <w:p>
      <w:pPr>
        <w:pStyle w:val="Heading2"/>
      </w:pPr>
      <w:bookmarkStart w:id="20" w:name="_43d48d90046d112be6d463469c1b49260ea0fc9"/>
      <w:r>
        <w:t xml:space="preserve">6. Key Contacts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Contact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Company Legal Counsel</w:t>
            </w:r>
          </w:p>
        </w:tc>
        <w:tc>
          <w:tcPr/>
          <w:p>
            <w:pPr>
              <w:pStyle w:val="Compact"/>
            </w:pPr>
            <w:r>
              <w:t xml:space="preserve">[TBD]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Legal Counsel</w:t>
            </w:r>
          </w:p>
        </w:tc>
        <w:tc>
          <w:tcPr/>
          <w:p>
            <w:pPr>
              <w:pStyle w:val="Compact"/>
            </w:pPr>
            <w:r>
              <w:t xml:space="preserve">[TBD]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Company Secretary</w:t>
            </w:r>
          </w:p>
        </w:tc>
        <w:tc>
          <w:tcPr/>
          <w:p>
            <w:pPr>
              <w:pStyle w:val="Compact"/>
            </w:pPr>
            <w:r>
              <w:t xml:space="preserve">[TBD]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Notary</w:t>
            </w:r>
          </w:p>
        </w:tc>
        <w:tc>
          <w:tcPr/>
          <w:p>
            <w:pPr>
              <w:pStyle w:val="Compact"/>
            </w:pPr>
            <w:r>
              <w:t xml:space="preserve">[TBD]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roadmap is indicative. Actual timeline depends on DD completion and negotiation.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  <w:num w:numId="1023">
    <w:abstractNumId w:val="992"/>
  </w:num>
  <w:num w:numId="1024">
    <w:abstractNumId w:val="992"/>
  </w:num>
  <w:num w:numId="1025">
    <w:abstractNumId w:val="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 Definitive Agreements Roadmap</dc:title>
  <dc:creator>HISN Platform</dc:creator>
  <cp:keywords>HISN, FCDOS, financial crime, decision operating system</cp:keywords>
  <dcterms:created xsi:type="dcterms:W3CDTF">2026-10-14T09:35:04Z</dcterms:created>
  <dcterms:modified xsi:type="dcterms:W3CDTF">2026-10-14T09:35:04Z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